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46591D">
        <w:rPr>
          <w:b/>
          <w:sz w:val="24"/>
          <w:szCs w:val="24"/>
        </w:rPr>
        <w:t>082</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46591D">
        <w:rPr>
          <w:b/>
          <w:sz w:val="24"/>
          <w:szCs w:val="24"/>
        </w:rPr>
        <w:t>76</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46591D">
        <w:rPr>
          <w:b/>
          <w:sz w:val="24"/>
          <w:szCs w:val="24"/>
        </w:rPr>
        <w:t>37</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F51FD6">
        <w:rPr>
          <w:b/>
          <w:i/>
          <w:sz w:val="24"/>
          <w:szCs w:val="24"/>
          <w:u w:val="single"/>
        </w:rPr>
        <w:t>exclusiva</w:t>
      </w:r>
      <w:r w:rsidR="00052EB1" w:rsidRPr="00F51FD6">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E76F58">
        <w:rPr>
          <w:b/>
          <w:sz w:val="24"/>
          <w:szCs w:val="24"/>
        </w:rPr>
        <w:t xml:space="preserve">a aquisição de </w:t>
      </w:r>
      <w:r w:rsidR="00E76F58" w:rsidRPr="00E76F58">
        <w:rPr>
          <w:b/>
          <w:sz w:val="24"/>
          <w:szCs w:val="24"/>
        </w:rPr>
        <w:t>materiais para a sinalização de trânsito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8F7C25" w:rsidRDefault="00CE2F88" w:rsidP="007E2FD2">
      <w:pPr>
        <w:pStyle w:val="Default"/>
        <w:spacing w:before="240" w:after="240"/>
        <w:rPr>
          <w:rFonts w:ascii="Times New Roman" w:hAnsi="Times New Roman" w:cs="Times New Roman"/>
          <w:color w:val="auto"/>
        </w:rPr>
      </w:pPr>
      <w:r w:rsidRPr="008F7C25">
        <w:rPr>
          <w:rFonts w:ascii="Times New Roman" w:hAnsi="Times New Roman" w:cs="Times New Roman"/>
          <w:b/>
          <w:bCs/>
          <w:color w:val="auto"/>
        </w:rPr>
        <w:t>2. DA DATA, DO HORÁRIO</w:t>
      </w:r>
      <w:r w:rsidR="006C692C" w:rsidRPr="008F7C25">
        <w:rPr>
          <w:rFonts w:ascii="Times New Roman" w:hAnsi="Times New Roman" w:cs="Times New Roman"/>
          <w:b/>
          <w:bCs/>
          <w:color w:val="auto"/>
        </w:rPr>
        <w:t xml:space="preserve"> </w:t>
      </w:r>
      <w:r w:rsidRPr="008F7C25">
        <w:rPr>
          <w:rFonts w:ascii="Times New Roman" w:hAnsi="Times New Roman" w:cs="Times New Roman"/>
          <w:b/>
          <w:bCs/>
          <w:color w:val="auto"/>
        </w:rPr>
        <w:t>E DO LOCAL DA SESSÃO</w:t>
      </w:r>
    </w:p>
    <w:p w:rsidR="0067065D" w:rsidRPr="008F7C25" w:rsidRDefault="0067065D" w:rsidP="0067065D">
      <w:pPr>
        <w:pStyle w:val="Recuodecorpodetexto"/>
        <w:tabs>
          <w:tab w:val="left" w:pos="1418"/>
        </w:tabs>
        <w:spacing w:before="240" w:after="0"/>
        <w:ind w:left="0"/>
        <w:jc w:val="both"/>
        <w:rPr>
          <w:b/>
          <w:sz w:val="24"/>
          <w:szCs w:val="24"/>
          <w:lang w:eastAsia="pt-BR"/>
        </w:rPr>
      </w:pPr>
      <w:r w:rsidRPr="008F7C25">
        <w:rPr>
          <w:b/>
          <w:sz w:val="24"/>
          <w:szCs w:val="24"/>
        </w:rPr>
        <w:t>2.1.</w:t>
      </w:r>
      <w:r w:rsidRPr="008F7C25">
        <w:rPr>
          <w:sz w:val="24"/>
          <w:szCs w:val="24"/>
        </w:rPr>
        <w:t xml:space="preserve"> D</w:t>
      </w:r>
      <w:r w:rsidRPr="008F7C25">
        <w:rPr>
          <w:sz w:val="24"/>
          <w:szCs w:val="24"/>
          <w:lang w:eastAsia="pt-BR"/>
        </w:rPr>
        <w:t xml:space="preserve">ata e hora limites recebimento de propostas: </w:t>
      </w:r>
      <w:r w:rsidR="008F7C25" w:rsidRPr="008F7C25">
        <w:rPr>
          <w:b/>
          <w:sz w:val="24"/>
          <w:szCs w:val="24"/>
          <w:lang w:eastAsia="pt-BR"/>
        </w:rPr>
        <w:t>22</w:t>
      </w:r>
      <w:r w:rsidRPr="008F7C25">
        <w:rPr>
          <w:b/>
          <w:sz w:val="24"/>
          <w:szCs w:val="24"/>
          <w:lang w:eastAsia="pt-BR"/>
        </w:rPr>
        <w:t xml:space="preserve"> de </w:t>
      </w:r>
      <w:r w:rsidR="008F7C25" w:rsidRPr="008F7C25">
        <w:rPr>
          <w:b/>
          <w:sz w:val="24"/>
          <w:szCs w:val="24"/>
          <w:lang w:eastAsia="pt-BR"/>
        </w:rPr>
        <w:t>maio</w:t>
      </w:r>
      <w:r w:rsidRPr="008F7C25">
        <w:rPr>
          <w:b/>
          <w:sz w:val="24"/>
          <w:szCs w:val="24"/>
          <w:lang w:eastAsia="pt-BR"/>
        </w:rPr>
        <w:t xml:space="preserve"> de 2025, às 08h20min.</w:t>
      </w:r>
    </w:p>
    <w:p w:rsidR="0067065D" w:rsidRPr="008F7C25" w:rsidRDefault="0067065D" w:rsidP="0067065D">
      <w:pPr>
        <w:pStyle w:val="Default"/>
        <w:jc w:val="both"/>
        <w:rPr>
          <w:rFonts w:ascii="Times New Roman" w:hAnsi="Times New Roman" w:cs="Times New Roman"/>
          <w:color w:val="auto"/>
        </w:rPr>
      </w:pPr>
      <w:r w:rsidRPr="008F7C25">
        <w:rPr>
          <w:rFonts w:ascii="Times New Roman" w:hAnsi="Times New Roman" w:cs="Times New Roman"/>
          <w:b/>
          <w:color w:val="auto"/>
          <w:lang w:eastAsia="ar-SA"/>
        </w:rPr>
        <w:t>2.2.</w:t>
      </w:r>
      <w:r w:rsidRPr="008F7C25">
        <w:rPr>
          <w:color w:val="auto"/>
        </w:rPr>
        <w:t xml:space="preserve"> </w:t>
      </w:r>
      <w:r w:rsidRPr="008F7C25">
        <w:rPr>
          <w:rFonts w:ascii="Times New Roman" w:hAnsi="Times New Roman" w:cs="Times New Roman"/>
          <w:color w:val="auto"/>
        </w:rPr>
        <w:t xml:space="preserve">Data e hora da disputa de preços: </w:t>
      </w:r>
      <w:r w:rsidR="008F7C25" w:rsidRPr="008F7C25">
        <w:rPr>
          <w:rFonts w:ascii="Times New Roman" w:hAnsi="Times New Roman" w:cs="Times New Roman"/>
          <w:b/>
          <w:color w:val="auto"/>
        </w:rPr>
        <w:t>22</w:t>
      </w:r>
      <w:r w:rsidRPr="008F7C25">
        <w:rPr>
          <w:rFonts w:ascii="Times New Roman" w:hAnsi="Times New Roman" w:cs="Times New Roman"/>
          <w:b/>
          <w:color w:val="auto"/>
        </w:rPr>
        <w:t xml:space="preserve"> de </w:t>
      </w:r>
      <w:r w:rsidR="008F7C25" w:rsidRPr="008F7C25">
        <w:rPr>
          <w:rFonts w:ascii="Times New Roman" w:hAnsi="Times New Roman" w:cs="Times New Roman"/>
          <w:b/>
          <w:color w:val="auto"/>
        </w:rPr>
        <w:t>maio</w:t>
      </w:r>
      <w:r w:rsidRPr="008F7C25">
        <w:rPr>
          <w:rFonts w:ascii="Times New Roman" w:hAnsi="Times New Roman" w:cs="Times New Roman"/>
          <w:b/>
          <w:color w:val="auto"/>
        </w:rPr>
        <w:t xml:space="preserve"> de 2025, às 08h30min</w:t>
      </w:r>
      <w:r w:rsidR="007472F2" w:rsidRPr="008F7C25">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8F7C25">
        <w:rPr>
          <w:sz w:val="24"/>
          <w:szCs w:val="24"/>
        </w:rPr>
        <w:t>R$ 0,</w:t>
      </w:r>
      <w:r w:rsidR="008F7C25" w:rsidRPr="008F7C25">
        <w:rPr>
          <w:sz w:val="24"/>
          <w:szCs w:val="24"/>
        </w:rPr>
        <w:t>1</w:t>
      </w:r>
      <w:r w:rsidRPr="008F7C25">
        <w:rPr>
          <w:sz w:val="24"/>
          <w:szCs w:val="24"/>
        </w:rPr>
        <w:t>0 (</w:t>
      </w:r>
      <w:r w:rsidR="008F7C25" w:rsidRPr="008F7C25">
        <w:rPr>
          <w:sz w:val="24"/>
          <w:szCs w:val="24"/>
        </w:rPr>
        <w:t>dez</w:t>
      </w:r>
      <w:r w:rsidRPr="008F7C25">
        <w:rPr>
          <w:sz w:val="24"/>
          <w:szCs w:val="24"/>
        </w:rPr>
        <w:t xml:space="preserve"> centavo</w:t>
      </w:r>
      <w:r w:rsidR="008F7C25" w:rsidRPr="008F7C25">
        <w:rPr>
          <w:sz w:val="24"/>
          <w:szCs w:val="24"/>
        </w:rPr>
        <w:t>s</w:t>
      </w:r>
      <w:r w:rsidRPr="008F7C25">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E00639">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FF46E3" w:rsidRDefault="00FF46E3"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AA3E24" w:rsidRDefault="00AA3E24" w:rsidP="00AA3E24">
      <w:pPr>
        <w:ind w:firstLine="708"/>
        <w:jc w:val="both"/>
        <w:rPr>
          <w:sz w:val="24"/>
          <w:szCs w:val="24"/>
        </w:rPr>
      </w:pPr>
      <w:bookmarkStart w:id="0" w:name="art67i"/>
      <w:bookmarkStart w:id="1" w:name="art67ii"/>
      <w:bookmarkEnd w:id="0"/>
      <w:bookmarkEnd w:id="1"/>
      <w:r w:rsidRPr="00AA3E24">
        <w:rPr>
          <w:sz w:val="24"/>
          <w:szCs w:val="24"/>
        </w:rPr>
        <w:t>-</w:t>
      </w:r>
      <w:r w:rsidR="0029480A" w:rsidRPr="00AA3E24">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27497E" w:rsidTr="006105B3">
        <w:trPr>
          <w:trHeight w:val="80"/>
          <w:jc w:val="center"/>
        </w:trPr>
        <w:tc>
          <w:tcPr>
            <w:tcW w:w="2167" w:type="dxa"/>
          </w:tcPr>
          <w:p w:rsidR="00554D8F" w:rsidRPr="0027497E" w:rsidRDefault="00554D8F" w:rsidP="006105B3">
            <w:pPr>
              <w:overflowPunct w:val="0"/>
              <w:autoSpaceDE w:val="0"/>
              <w:autoSpaceDN w:val="0"/>
              <w:adjustRightInd w:val="0"/>
              <w:jc w:val="right"/>
              <w:textAlignment w:val="baseline"/>
              <w:rPr>
                <w:b/>
                <w:sz w:val="24"/>
                <w:szCs w:val="24"/>
              </w:rPr>
            </w:pPr>
            <w:r w:rsidRPr="0027497E">
              <w:rPr>
                <w:b/>
                <w:sz w:val="24"/>
                <w:szCs w:val="24"/>
              </w:rPr>
              <w:t>0</w:t>
            </w:r>
            <w:r w:rsidR="006105B3" w:rsidRPr="0027497E">
              <w:rPr>
                <w:b/>
                <w:sz w:val="24"/>
                <w:szCs w:val="24"/>
              </w:rPr>
              <w:t>7</w:t>
            </w:r>
          </w:p>
          <w:p w:rsidR="006105B3" w:rsidRPr="0027497E" w:rsidRDefault="006105B3" w:rsidP="006105B3">
            <w:pPr>
              <w:overflowPunct w:val="0"/>
              <w:autoSpaceDE w:val="0"/>
              <w:autoSpaceDN w:val="0"/>
              <w:adjustRightInd w:val="0"/>
              <w:jc w:val="right"/>
              <w:textAlignment w:val="baseline"/>
              <w:rPr>
                <w:sz w:val="24"/>
                <w:szCs w:val="24"/>
              </w:rPr>
            </w:pPr>
          </w:p>
          <w:p w:rsidR="00554D8F" w:rsidRPr="0027497E" w:rsidRDefault="00554D8F" w:rsidP="006105B3">
            <w:pPr>
              <w:overflowPunct w:val="0"/>
              <w:autoSpaceDE w:val="0"/>
              <w:autoSpaceDN w:val="0"/>
              <w:adjustRightInd w:val="0"/>
              <w:jc w:val="right"/>
              <w:textAlignment w:val="baseline"/>
              <w:rPr>
                <w:sz w:val="24"/>
                <w:szCs w:val="24"/>
              </w:rPr>
            </w:pPr>
            <w:r w:rsidRPr="0027497E">
              <w:rPr>
                <w:sz w:val="24"/>
                <w:szCs w:val="24"/>
              </w:rPr>
              <w:t>2</w:t>
            </w:r>
            <w:r w:rsidR="006105B3" w:rsidRPr="0027497E">
              <w:rPr>
                <w:sz w:val="24"/>
                <w:szCs w:val="24"/>
              </w:rPr>
              <w:t>069</w:t>
            </w:r>
          </w:p>
        </w:tc>
        <w:tc>
          <w:tcPr>
            <w:tcW w:w="7554" w:type="dxa"/>
          </w:tcPr>
          <w:p w:rsidR="00554D8F" w:rsidRPr="0027497E" w:rsidRDefault="006105B3" w:rsidP="006105B3">
            <w:pPr>
              <w:overflowPunct w:val="0"/>
              <w:autoSpaceDE w:val="0"/>
              <w:autoSpaceDN w:val="0"/>
              <w:adjustRightInd w:val="0"/>
              <w:jc w:val="both"/>
              <w:textAlignment w:val="baseline"/>
              <w:rPr>
                <w:b/>
                <w:sz w:val="24"/>
                <w:szCs w:val="24"/>
              </w:rPr>
            </w:pPr>
            <w:r w:rsidRPr="0027497E">
              <w:rPr>
                <w:b/>
                <w:sz w:val="24"/>
                <w:szCs w:val="24"/>
              </w:rPr>
              <w:t>SECRETARIA MUNICIPAL DE OBRAS, SERVIÇOS RURAIS, URBANOS E TRÂNSITO</w:t>
            </w:r>
          </w:p>
          <w:p w:rsidR="00554D8F" w:rsidRPr="0027497E" w:rsidRDefault="006105B3" w:rsidP="006105B3">
            <w:pPr>
              <w:overflowPunct w:val="0"/>
              <w:autoSpaceDE w:val="0"/>
              <w:autoSpaceDN w:val="0"/>
              <w:adjustRightInd w:val="0"/>
              <w:jc w:val="both"/>
              <w:textAlignment w:val="baseline"/>
              <w:rPr>
                <w:sz w:val="24"/>
                <w:szCs w:val="24"/>
              </w:rPr>
            </w:pPr>
            <w:r w:rsidRPr="0027497E">
              <w:rPr>
                <w:sz w:val="24"/>
                <w:szCs w:val="24"/>
              </w:rPr>
              <w:t>Fiscalização, Manutenção e Controle do Trânsito</w:t>
            </w:r>
          </w:p>
        </w:tc>
      </w:tr>
      <w:tr w:rsidR="00A62799" w:rsidRPr="0027497E" w:rsidTr="006105B3">
        <w:trPr>
          <w:trHeight w:val="80"/>
          <w:jc w:val="center"/>
        </w:trPr>
        <w:tc>
          <w:tcPr>
            <w:tcW w:w="2167" w:type="dxa"/>
          </w:tcPr>
          <w:p w:rsidR="00554D8F" w:rsidRPr="0027497E" w:rsidRDefault="00554D8F" w:rsidP="006105B3">
            <w:pPr>
              <w:overflowPunct w:val="0"/>
              <w:autoSpaceDE w:val="0"/>
              <w:autoSpaceDN w:val="0"/>
              <w:adjustRightInd w:val="0"/>
              <w:textAlignment w:val="baseline"/>
              <w:rPr>
                <w:sz w:val="16"/>
                <w:szCs w:val="16"/>
              </w:rPr>
            </w:pPr>
          </w:p>
        </w:tc>
        <w:tc>
          <w:tcPr>
            <w:tcW w:w="7554" w:type="dxa"/>
          </w:tcPr>
          <w:p w:rsidR="00554D8F" w:rsidRPr="0027497E" w:rsidRDefault="00554D8F" w:rsidP="006105B3">
            <w:pPr>
              <w:overflowPunct w:val="0"/>
              <w:autoSpaceDE w:val="0"/>
              <w:autoSpaceDN w:val="0"/>
              <w:adjustRightInd w:val="0"/>
              <w:jc w:val="both"/>
              <w:textAlignment w:val="baseline"/>
              <w:rPr>
                <w:sz w:val="16"/>
                <w:szCs w:val="16"/>
              </w:rPr>
            </w:pPr>
          </w:p>
        </w:tc>
      </w:tr>
      <w:tr w:rsidR="0027497E" w:rsidRPr="0027497E" w:rsidTr="006105B3">
        <w:trPr>
          <w:trHeight w:val="80"/>
          <w:jc w:val="center"/>
        </w:trPr>
        <w:tc>
          <w:tcPr>
            <w:tcW w:w="2167" w:type="dxa"/>
          </w:tcPr>
          <w:p w:rsidR="00554D8F" w:rsidRPr="0027497E" w:rsidRDefault="00554D8F" w:rsidP="006105B3">
            <w:pPr>
              <w:overflowPunct w:val="0"/>
              <w:autoSpaceDE w:val="0"/>
              <w:autoSpaceDN w:val="0"/>
              <w:adjustRightInd w:val="0"/>
              <w:jc w:val="right"/>
              <w:textAlignment w:val="baseline"/>
              <w:rPr>
                <w:b/>
                <w:sz w:val="24"/>
                <w:szCs w:val="24"/>
              </w:rPr>
            </w:pPr>
            <w:r w:rsidRPr="0027497E">
              <w:rPr>
                <w:b/>
                <w:sz w:val="24"/>
                <w:szCs w:val="24"/>
              </w:rPr>
              <w:t>3</w:t>
            </w:r>
            <w:r w:rsidR="006105B3" w:rsidRPr="0027497E">
              <w:rPr>
                <w:b/>
                <w:sz w:val="24"/>
                <w:szCs w:val="24"/>
              </w:rPr>
              <w:t>.</w:t>
            </w:r>
            <w:r w:rsidRPr="0027497E">
              <w:rPr>
                <w:b/>
                <w:sz w:val="24"/>
                <w:szCs w:val="24"/>
              </w:rPr>
              <w:t>3</w:t>
            </w:r>
            <w:r w:rsidR="006105B3" w:rsidRPr="0027497E">
              <w:rPr>
                <w:b/>
                <w:sz w:val="24"/>
                <w:szCs w:val="24"/>
              </w:rPr>
              <w:t>.9</w:t>
            </w:r>
            <w:r w:rsidRPr="0027497E">
              <w:rPr>
                <w:b/>
                <w:sz w:val="24"/>
                <w:szCs w:val="24"/>
              </w:rPr>
              <w:t>0</w:t>
            </w:r>
            <w:r w:rsidR="006105B3" w:rsidRPr="0027497E">
              <w:rPr>
                <w:b/>
                <w:sz w:val="24"/>
                <w:szCs w:val="24"/>
              </w:rPr>
              <w:t>.3</w:t>
            </w:r>
            <w:r w:rsidRPr="0027497E">
              <w:rPr>
                <w:b/>
                <w:sz w:val="24"/>
                <w:szCs w:val="24"/>
              </w:rPr>
              <w:t>0</w:t>
            </w:r>
            <w:r w:rsidR="006105B3" w:rsidRPr="0027497E">
              <w:rPr>
                <w:b/>
                <w:sz w:val="24"/>
                <w:szCs w:val="24"/>
              </w:rPr>
              <w:t>.44.</w:t>
            </w:r>
            <w:r w:rsidRPr="0027497E">
              <w:rPr>
                <w:b/>
                <w:sz w:val="24"/>
                <w:szCs w:val="24"/>
              </w:rPr>
              <w:t>00</w:t>
            </w:r>
            <w:r w:rsidR="006105B3" w:rsidRPr="0027497E">
              <w:rPr>
                <w:b/>
                <w:sz w:val="24"/>
                <w:szCs w:val="24"/>
              </w:rPr>
              <w:t>.</w:t>
            </w:r>
            <w:r w:rsidRPr="0027497E">
              <w:rPr>
                <w:b/>
                <w:sz w:val="24"/>
                <w:szCs w:val="24"/>
              </w:rPr>
              <w:t>00</w:t>
            </w:r>
            <w:r w:rsidR="006105B3" w:rsidRPr="0027497E">
              <w:rPr>
                <w:b/>
                <w:sz w:val="24"/>
                <w:szCs w:val="24"/>
              </w:rPr>
              <w:t>.</w:t>
            </w:r>
          </w:p>
        </w:tc>
        <w:tc>
          <w:tcPr>
            <w:tcW w:w="7554" w:type="dxa"/>
          </w:tcPr>
          <w:p w:rsidR="00554D8F" w:rsidRPr="0027497E" w:rsidRDefault="0027497E" w:rsidP="006105B3">
            <w:pPr>
              <w:overflowPunct w:val="0"/>
              <w:autoSpaceDE w:val="0"/>
              <w:autoSpaceDN w:val="0"/>
              <w:adjustRightInd w:val="0"/>
              <w:jc w:val="both"/>
              <w:textAlignment w:val="baseline"/>
              <w:rPr>
                <w:b/>
                <w:sz w:val="24"/>
                <w:szCs w:val="24"/>
              </w:rPr>
            </w:pPr>
            <w:r w:rsidRPr="0027497E">
              <w:rPr>
                <w:b/>
                <w:sz w:val="24"/>
                <w:szCs w:val="24"/>
              </w:rPr>
              <w:t>Material de Sinalização Visual e Outros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29480A" w:rsidRPr="00681E08" w:rsidRDefault="00871E60" w:rsidP="00D867FB">
      <w:pPr>
        <w:autoSpaceDE w:val="0"/>
        <w:autoSpaceDN w:val="0"/>
        <w:adjustRightInd w:val="0"/>
        <w:ind w:firstLine="708"/>
        <w:rPr>
          <w:color w:val="000000"/>
          <w:sz w:val="24"/>
          <w:szCs w:val="24"/>
        </w:rPr>
      </w:pPr>
      <w:r w:rsidRPr="00681E08">
        <w:rPr>
          <w:color w:val="000000"/>
          <w:sz w:val="24"/>
          <w:szCs w:val="24"/>
        </w:rPr>
        <w:t>Anexo II</w:t>
      </w:r>
      <w:r w:rsidR="00D867FB">
        <w:rPr>
          <w:color w:val="000000"/>
          <w:sz w:val="24"/>
          <w:szCs w:val="24"/>
        </w:rPr>
        <w:t xml:space="preserve"> - Modelo de Proposta de Preços</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0D1474">
        <w:rPr>
          <w:sz w:val="24"/>
          <w:szCs w:val="24"/>
        </w:rPr>
        <w:t>16</w:t>
      </w:r>
      <w:r w:rsidR="00D468A2">
        <w:rPr>
          <w:sz w:val="24"/>
          <w:szCs w:val="24"/>
        </w:rPr>
        <w:t xml:space="preserve"> </w:t>
      </w:r>
      <w:r w:rsidR="007B0E7D" w:rsidRPr="00D468A2">
        <w:rPr>
          <w:sz w:val="24"/>
          <w:szCs w:val="24"/>
        </w:rPr>
        <w:t xml:space="preserve">de </w:t>
      </w:r>
      <w:r w:rsidR="000D1474">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83F31">
        <w:rPr>
          <w:b/>
          <w:bCs/>
          <w:sz w:val="24"/>
          <w:szCs w:val="24"/>
        </w:rPr>
        <w:t>37</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001DFB" w:rsidRPr="00E76F58">
        <w:rPr>
          <w:b/>
          <w:sz w:val="24"/>
          <w:szCs w:val="24"/>
        </w:rPr>
        <w:t xml:space="preserve">a aquisição de materiais para a sinalização de </w:t>
      </w:r>
      <w:r w:rsidR="00001DFB" w:rsidRPr="00001DFB">
        <w:rPr>
          <w:b/>
          <w:sz w:val="24"/>
          <w:szCs w:val="24"/>
        </w:rPr>
        <w:t>trânsito</w:t>
      </w:r>
      <w:r w:rsidRPr="00001DFB">
        <w:rPr>
          <w:b/>
          <w:sz w:val="24"/>
          <w:szCs w:val="24"/>
        </w:rPr>
        <w:t>.</w:t>
      </w:r>
    </w:p>
    <w:p w:rsidR="00202E1F" w:rsidRPr="00717684" w:rsidRDefault="00001DFB" w:rsidP="00F43277">
      <w:pPr>
        <w:autoSpaceDE w:val="0"/>
        <w:autoSpaceDN w:val="0"/>
        <w:adjustRightInd w:val="0"/>
        <w:spacing w:before="240" w:after="240"/>
        <w:jc w:val="both"/>
        <w:rPr>
          <w:b/>
          <w:bCs/>
          <w:sz w:val="24"/>
          <w:szCs w:val="24"/>
        </w:rPr>
      </w:pPr>
      <w:r w:rsidRPr="00717684">
        <w:rPr>
          <w:b/>
          <w:bCs/>
          <w:sz w:val="24"/>
          <w:szCs w:val="24"/>
        </w:rPr>
        <w:t>2. ITENS A SEREM ADQUIRIDOS</w:t>
      </w:r>
    </w:p>
    <w:tbl>
      <w:tblPr>
        <w:tblStyle w:val="Tabelacomgrade"/>
        <w:tblW w:w="9905" w:type="dxa"/>
        <w:tblLook w:val="04A0" w:firstRow="1" w:lastRow="0" w:firstColumn="1" w:lastColumn="0" w:noHBand="0" w:noVBand="1"/>
      </w:tblPr>
      <w:tblGrid>
        <w:gridCol w:w="696"/>
        <w:gridCol w:w="774"/>
        <w:gridCol w:w="4957"/>
        <w:gridCol w:w="811"/>
        <w:gridCol w:w="1286"/>
        <w:gridCol w:w="1381"/>
      </w:tblGrid>
      <w:tr w:rsidR="00717684" w:rsidRPr="00717684" w:rsidTr="00717684">
        <w:trPr>
          <w:trHeight w:val="340"/>
        </w:trPr>
        <w:tc>
          <w:tcPr>
            <w:tcW w:w="699" w:type="dxa"/>
            <w:vAlign w:val="center"/>
          </w:tcPr>
          <w:p w:rsidR="00202E1F" w:rsidRPr="00717684" w:rsidRDefault="00202E1F" w:rsidP="006105B3">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Item</w:t>
            </w:r>
          </w:p>
        </w:tc>
        <w:tc>
          <w:tcPr>
            <w:tcW w:w="777" w:type="dxa"/>
            <w:vAlign w:val="center"/>
          </w:tcPr>
          <w:p w:rsidR="00202E1F" w:rsidRPr="00717684" w:rsidRDefault="00202E1F" w:rsidP="000D1474">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Unid.</w:t>
            </w:r>
          </w:p>
        </w:tc>
        <w:tc>
          <w:tcPr>
            <w:tcW w:w="5080" w:type="dxa"/>
            <w:vAlign w:val="center"/>
          </w:tcPr>
          <w:p w:rsidR="00202E1F" w:rsidRPr="00717684" w:rsidRDefault="00202E1F" w:rsidP="006105B3">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Especificação</w:t>
            </w:r>
          </w:p>
        </w:tc>
        <w:tc>
          <w:tcPr>
            <w:tcW w:w="669" w:type="dxa"/>
            <w:vAlign w:val="center"/>
          </w:tcPr>
          <w:p w:rsidR="00202E1F" w:rsidRPr="00717684" w:rsidRDefault="00202E1F" w:rsidP="00717684">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Quant.</w:t>
            </w:r>
          </w:p>
        </w:tc>
        <w:tc>
          <w:tcPr>
            <w:tcW w:w="1291" w:type="dxa"/>
            <w:vAlign w:val="center"/>
          </w:tcPr>
          <w:p w:rsidR="00202E1F" w:rsidRPr="00717684" w:rsidRDefault="00202E1F" w:rsidP="00717684">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Preço Referência  Unitário</w:t>
            </w:r>
          </w:p>
        </w:tc>
        <w:tc>
          <w:tcPr>
            <w:tcW w:w="1389" w:type="dxa"/>
            <w:vAlign w:val="center"/>
          </w:tcPr>
          <w:p w:rsidR="00202E1F" w:rsidRPr="00717684" w:rsidRDefault="00202E1F" w:rsidP="00717684">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Preço Referência  Total</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1</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amarela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p>
        </w:tc>
        <w:tc>
          <w:tcPr>
            <w:tcW w:w="669" w:type="dxa"/>
            <w:vAlign w:val="center"/>
          </w:tcPr>
          <w:p w:rsidR="000D1474" w:rsidRPr="00717684" w:rsidRDefault="000D147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1291" w:type="dxa"/>
            <w:vAlign w:val="center"/>
          </w:tcPr>
          <w:p w:rsidR="000D1474" w:rsidRPr="00717684" w:rsidRDefault="000D1474" w:rsidP="00717684">
            <w:pPr>
              <w:pStyle w:val="Contefadodatabela"/>
              <w:jc w:val="center"/>
              <w:rPr>
                <w:rFonts w:ascii="Times New Roman" w:hAnsi="Times New Roman"/>
                <w:sz w:val="20"/>
                <w:szCs w:val="20"/>
              </w:rPr>
            </w:pPr>
            <w:r w:rsidRPr="00717684">
              <w:rPr>
                <w:rFonts w:ascii="Times New Roman" w:hAnsi="Times New Roman"/>
                <w:sz w:val="20"/>
                <w:szCs w:val="20"/>
              </w:rPr>
              <w:t>R$ 192,00</w:t>
            </w:r>
          </w:p>
        </w:tc>
        <w:tc>
          <w:tcPr>
            <w:tcW w:w="1389" w:type="dxa"/>
            <w:vAlign w:val="center"/>
          </w:tcPr>
          <w:p w:rsidR="000D1474" w:rsidRPr="00717684" w:rsidRDefault="000D1474" w:rsidP="00717684">
            <w:pPr>
              <w:pStyle w:val="Contefadodatabela"/>
              <w:jc w:val="center"/>
              <w:rPr>
                <w:rFonts w:ascii="Times New Roman" w:hAnsi="Times New Roman"/>
                <w:sz w:val="20"/>
                <w:szCs w:val="20"/>
              </w:rPr>
            </w:pPr>
            <w:r w:rsidRPr="00717684">
              <w:rPr>
                <w:rFonts w:ascii="Times New Roman" w:hAnsi="Times New Roman"/>
                <w:sz w:val="20"/>
                <w:szCs w:val="20"/>
              </w:rPr>
              <w:t>R$ 1.920,00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2</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branca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p>
        </w:tc>
        <w:tc>
          <w:tcPr>
            <w:tcW w:w="669" w:type="dxa"/>
            <w:vAlign w:val="center"/>
          </w:tcPr>
          <w:p w:rsidR="000D1474" w:rsidRPr="00717684" w:rsidRDefault="000D147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20</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260,00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5.200,00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3</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Cavalete de sinalização de trânsito</w:t>
            </w:r>
            <w:r w:rsidRPr="00717684">
              <w:rPr>
                <w:rFonts w:ascii="Times New Roman" w:hAnsi="Times New Roman"/>
                <w:sz w:val="20"/>
                <w:szCs w:val="20"/>
              </w:rPr>
              <w:t xml:space="preserve"> (dimensões mínimas 110x54cm) - em plástico, dobrável, com película refletiva, fabricado em polietileno com proteção contra raios </w:t>
            </w:r>
            <w:proofErr w:type="spellStart"/>
            <w:r w:rsidRPr="00717684">
              <w:rPr>
                <w:rFonts w:ascii="Times New Roman" w:hAnsi="Times New Roman"/>
                <w:sz w:val="20"/>
                <w:szCs w:val="20"/>
              </w:rPr>
              <w:t>uv</w:t>
            </w:r>
            <w:proofErr w:type="spellEnd"/>
            <w:r w:rsidRPr="00717684">
              <w:rPr>
                <w:rFonts w:ascii="Times New Roman" w:hAnsi="Times New Roman"/>
                <w:sz w:val="20"/>
                <w:szCs w:val="20"/>
              </w:rPr>
              <w:t>.</w:t>
            </w:r>
          </w:p>
        </w:tc>
        <w:tc>
          <w:tcPr>
            <w:tcW w:w="669" w:type="dxa"/>
            <w:vAlign w:val="center"/>
          </w:tcPr>
          <w:p w:rsidR="000D1474" w:rsidRPr="00717684" w:rsidRDefault="000D147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290,00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1.160,00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4</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Solvente para tinta demarcatória viária</w:t>
            </w:r>
            <w:r w:rsidRPr="00717684">
              <w:rPr>
                <w:rFonts w:ascii="Times New Roman" w:hAnsi="Times New Roman"/>
                <w:sz w:val="20"/>
                <w:szCs w:val="20"/>
              </w:rPr>
              <w:t xml:space="preserve"> de 18 litros.</w:t>
            </w:r>
          </w:p>
        </w:tc>
        <w:tc>
          <w:tcPr>
            <w:tcW w:w="669" w:type="dxa"/>
            <w:vAlign w:val="center"/>
          </w:tcPr>
          <w:p w:rsidR="000D1474" w:rsidRPr="00717684" w:rsidRDefault="000D147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6</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227,00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1.362,00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5</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 xml:space="preserve">Placa de sinalização de trânsito de </w:t>
            </w:r>
            <w:r w:rsidR="00717684" w:rsidRPr="00717684">
              <w:rPr>
                <w:rFonts w:ascii="Times New Roman" w:hAnsi="Times New Roman"/>
                <w:b/>
                <w:sz w:val="20"/>
                <w:szCs w:val="20"/>
              </w:rPr>
              <w:t>“</w:t>
            </w:r>
            <w:r w:rsidRPr="00717684">
              <w:rPr>
                <w:rFonts w:ascii="Times New Roman" w:hAnsi="Times New Roman"/>
                <w:b/>
                <w:sz w:val="20"/>
                <w:szCs w:val="20"/>
              </w:rPr>
              <w:t>quebra-molas ou lombada</w:t>
            </w:r>
            <w:r w:rsidR="00717684" w:rsidRPr="00717684">
              <w:rPr>
                <w:rFonts w:ascii="Times New Roman" w:hAnsi="Times New Roman"/>
                <w:b/>
                <w:sz w:val="20"/>
                <w:szCs w:val="20"/>
              </w:rPr>
              <w:t>”</w:t>
            </w:r>
            <w:r w:rsidRPr="00717684">
              <w:rPr>
                <w:rFonts w:ascii="Times New Roman" w:hAnsi="Times New Roman"/>
                <w:sz w:val="20"/>
                <w:szCs w:val="20"/>
              </w:rPr>
              <w:t xml:space="preserve"> (desenho do quebra-molas) refletiva, em chapa de aço#18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135,00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540,00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6</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Placa de sinalização de trânsito d</w:t>
            </w:r>
            <w:r w:rsidR="00717684" w:rsidRPr="00717684">
              <w:rPr>
                <w:rFonts w:ascii="Times New Roman" w:hAnsi="Times New Roman"/>
                <w:b/>
                <w:sz w:val="20"/>
                <w:szCs w:val="20"/>
              </w:rPr>
              <w:t>e ‘P</w:t>
            </w:r>
            <w:r w:rsidRPr="00717684">
              <w:rPr>
                <w:rFonts w:ascii="Times New Roman" w:hAnsi="Times New Roman"/>
                <w:b/>
                <w:sz w:val="20"/>
                <w:szCs w:val="20"/>
              </w:rPr>
              <w:t>are</w:t>
            </w:r>
            <w:r w:rsidR="00717684" w:rsidRPr="00717684">
              <w:rPr>
                <w:rFonts w:ascii="Times New Roman" w:hAnsi="Times New Roman"/>
                <w:b/>
                <w:sz w:val="20"/>
                <w:szCs w:val="20"/>
              </w:rPr>
              <w:t>”</w:t>
            </w:r>
            <w:r w:rsidRPr="00717684">
              <w:rPr>
                <w:rFonts w:ascii="Times New Roman" w:hAnsi="Times New Roman"/>
                <w:sz w:val="20"/>
                <w:szCs w:val="20"/>
              </w:rPr>
              <w:t xml:space="preserve"> 500x50</w:t>
            </w:r>
            <w:r w:rsidR="00717684" w:rsidRPr="00717684">
              <w:rPr>
                <w:rFonts w:ascii="Times New Roman" w:hAnsi="Times New Roman"/>
                <w:sz w:val="20"/>
                <w:szCs w:val="20"/>
              </w:rPr>
              <w:t>0mm, refletiva, em chapa de aço</w:t>
            </w:r>
            <w:r w:rsidRPr="00717684">
              <w:rPr>
                <w:rFonts w:ascii="Times New Roman" w:hAnsi="Times New Roman"/>
                <w:sz w:val="20"/>
                <w:szCs w:val="20"/>
              </w:rPr>
              <w:t>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284,00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2.840,00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7</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 xml:space="preserve">Placa de sinalização de trânsito de </w:t>
            </w:r>
            <w:r w:rsidR="00717684" w:rsidRPr="00717684">
              <w:rPr>
                <w:rFonts w:ascii="Times New Roman" w:hAnsi="Times New Roman"/>
                <w:b/>
                <w:sz w:val="20"/>
                <w:szCs w:val="20"/>
              </w:rPr>
              <w:t>“</w:t>
            </w:r>
            <w:r w:rsidRPr="00717684">
              <w:rPr>
                <w:rFonts w:ascii="Times New Roman" w:hAnsi="Times New Roman"/>
                <w:b/>
                <w:sz w:val="20"/>
                <w:szCs w:val="20"/>
              </w:rPr>
              <w:t>rotatória</w:t>
            </w:r>
            <w:r w:rsidR="00717684" w:rsidRPr="00717684">
              <w:rPr>
                <w:rFonts w:ascii="Times New Roman" w:hAnsi="Times New Roman"/>
                <w:b/>
                <w:sz w:val="20"/>
                <w:szCs w:val="20"/>
              </w:rPr>
              <w:t>”</w:t>
            </w:r>
            <w:r w:rsidRPr="00717684">
              <w:rPr>
                <w:rFonts w:ascii="Times New Roman" w:hAnsi="Times New Roman"/>
                <w:sz w:val="20"/>
                <w:szCs w:val="20"/>
              </w:rPr>
              <w:t xml:space="preserve"> 500x500mm, refletiva, em chapa de aço#18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107,99</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431,96</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8</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Tachão bidirecional</w:t>
            </w:r>
            <w:r w:rsidRPr="00717684">
              <w:rPr>
                <w:rFonts w:ascii="Times New Roman" w:hAnsi="Times New Roman"/>
                <w:sz w:val="20"/>
                <w:szCs w:val="20"/>
              </w:rPr>
              <w:t xml:space="preserve"> à base de poliéster 250x20mm - olho de gato.</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40</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34,00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1.360,00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9</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 xml:space="preserve">Cone de sinalização de trânsito de </w:t>
            </w:r>
            <w:proofErr w:type="spellStart"/>
            <w:r w:rsidRPr="00717684">
              <w:rPr>
                <w:rFonts w:ascii="Times New Roman" w:hAnsi="Times New Roman"/>
                <w:b/>
                <w:sz w:val="20"/>
                <w:szCs w:val="20"/>
              </w:rPr>
              <w:t>pvc</w:t>
            </w:r>
            <w:proofErr w:type="spellEnd"/>
            <w:r w:rsidRPr="00717684">
              <w:rPr>
                <w:rFonts w:ascii="Times New Roman" w:hAnsi="Times New Roman"/>
                <w:sz w:val="20"/>
                <w:szCs w:val="20"/>
              </w:rPr>
              <w:t>, com base, 50 cm, laranja e branco refletivo.</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83,00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830,00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10</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azul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sinalização horizontal viária - tinta à base de resina acrílica).</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2</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300,00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600,00</w:t>
            </w:r>
          </w:p>
        </w:tc>
      </w:tr>
      <w:tr w:rsidR="00717684" w:rsidRPr="00717684" w:rsidTr="00717684">
        <w:trPr>
          <w:trHeight w:val="340"/>
        </w:trPr>
        <w:tc>
          <w:tcPr>
            <w:tcW w:w="699" w:type="dxa"/>
            <w:vAlign w:val="center"/>
          </w:tcPr>
          <w:p w:rsidR="000D1474" w:rsidRPr="00717684" w:rsidRDefault="000D1474" w:rsidP="000D1474">
            <w:pPr>
              <w:pStyle w:val="Contedodatabela"/>
              <w:jc w:val="center"/>
              <w:rPr>
                <w:rFonts w:ascii="Times New Roman" w:hAnsi="Times New Roman" w:cs="Times New Roman"/>
                <w:b/>
              </w:rPr>
            </w:pPr>
            <w:r w:rsidRPr="00717684">
              <w:rPr>
                <w:rFonts w:ascii="Times New Roman" w:hAnsi="Times New Roman" w:cs="Times New Roman"/>
                <w:b/>
              </w:rPr>
              <w:t>11</w:t>
            </w:r>
          </w:p>
        </w:tc>
        <w:tc>
          <w:tcPr>
            <w:tcW w:w="777" w:type="dxa"/>
            <w:vAlign w:val="center"/>
          </w:tcPr>
          <w:p w:rsidR="000D1474" w:rsidRPr="00717684" w:rsidRDefault="000D1474" w:rsidP="000D1474">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080" w:type="dxa"/>
          </w:tcPr>
          <w:p w:rsidR="000D1474" w:rsidRPr="00717684" w:rsidRDefault="000D1474" w:rsidP="000D1474">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preta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r w:rsidR="00FF0BBF">
              <w:rPr>
                <w:rFonts w:ascii="Times New Roman" w:hAnsi="Times New Roman"/>
                <w:sz w:val="20"/>
                <w:szCs w:val="20"/>
              </w:rPr>
              <w:t>.</w:t>
            </w:r>
          </w:p>
        </w:tc>
        <w:tc>
          <w:tcPr>
            <w:tcW w:w="669" w:type="dxa"/>
            <w:vAlign w:val="center"/>
          </w:tcPr>
          <w:p w:rsidR="000D1474" w:rsidRPr="00717684" w:rsidRDefault="00717684" w:rsidP="00717684">
            <w:pPr>
              <w:pStyle w:val="Contefadodatabela"/>
              <w:ind w:right="57"/>
              <w:jc w:val="center"/>
              <w:rPr>
                <w:rFonts w:ascii="Times New Roman" w:hAnsi="Times New Roman"/>
                <w:sz w:val="20"/>
                <w:szCs w:val="20"/>
              </w:rPr>
            </w:pPr>
            <w:r w:rsidRPr="00717684">
              <w:rPr>
                <w:rFonts w:ascii="Times New Roman" w:hAnsi="Times New Roman"/>
                <w:sz w:val="20"/>
                <w:szCs w:val="20"/>
              </w:rPr>
              <w:t>6</w:t>
            </w:r>
          </w:p>
        </w:tc>
        <w:tc>
          <w:tcPr>
            <w:tcW w:w="1291"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260,00</w:t>
            </w:r>
          </w:p>
        </w:tc>
        <w:tc>
          <w:tcPr>
            <w:tcW w:w="1389" w:type="dxa"/>
            <w:vAlign w:val="center"/>
          </w:tcPr>
          <w:p w:rsidR="000D1474" w:rsidRPr="00717684" w:rsidRDefault="00717684" w:rsidP="00717684">
            <w:pPr>
              <w:pStyle w:val="Contefadodatabela"/>
              <w:jc w:val="center"/>
              <w:rPr>
                <w:rFonts w:ascii="Times New Roman" w:hAnsi="Times New Roman"/>
                <w:sz w:val="20"/>
                <w:szCs w:val="20"/>
              </w:rPr>
            </w:pPr>
            <w:r w:rsidRPr="00717684">
              <w:rPr>
                <w:rFonts w:ascii="Times New Roman" w:hAnsi="Times New Roman"/>
                <w:sz w:val="20"/>
                <w:szCs w:val="20"/>
              </w:rPr>
              <w:t xml:space="preserve">R$ </w:t>
            </w:r>
            <w:r w:rsidR="000D1474" w:rsidRPr="00717684">
              <w:rPr>
                <w:rFonts w:ascii="Times New Roman" w:hAnsi="Times New Roman"/>
                <w:sz w:val="20"/>
                <w:szCs w:val="20"/>
              </w:rPr>
              <w:t>1.560,00</w:t>
            </w:r>
          </w:p>
        </w:tc>
      </w:tr>
      <w:tr w:rsidR="00717684" w:rsidRPr="00717684" w:rsidTr="00717684">
        <w:trPr>
          <w:trHeight w:val="340"/>
        </w:trPr>
        <w:tc>
          <w:tcPr>
            <w:tcW w:w="8516" w:type="dxa"/>
            <w:gridSpan w:val="5"/>
            <w:vAlign w:val="center"/>
          </w:tcPr>
          <w:p w:rsidR="00202E1F" w:rsidRPr="00480D8E" w:rsidRDefault="00202E1F" w:rsidP="00717684">
            <w:pPr>
              <w:jc w:val="center"/>
              <w:rPr>
                <w:b/>
              </w:rPr>
            </w:pPr>
            <w:r w:rsidRPr="00480D8E">
              <w:rPr>
                <w:b/>
              </w:rPr>
              <w:t>TOTAL</w:t>
            </w:r>
          </w:p>
        </w:tc>
        <w:tc>
          <w:tcPr>
            <w:tcW w:w="1389" w:type="dxa"/>
            <w:vAlign w:val="center"/>
          </w:tcPr>
          <w:p w:rsidR="00202E1F" w:rsidRPr="00480D8E" w:rsidRDefault="000D1474" w:rsidP="00717684">
            <w:pPr>
              <w:ind w:hanging="117"/>
              <w:jc w:val="center"/>
              <w:rPr>
                <w:b/>
              </w:rPr>
            </w:pPr>
            <w:r w:rsidRPr="00480D8E">
              <w:rPr>
                <w:b/>
              </w:rPr>
              <w:t>R$ 17.803,96</w:t>
            </w:r>
          </w:p>
        </w:tc>
      </w:tr>
    </w:tbl>
    <w:p w:rsidR="00202E1F" w:rsidRPr="0029618B"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29618B">
        <w:rPr>
          <w:b/>
          <w:bCs/>
          <w:sz w:val="24"/>
          <w:szCs w:val="24"/>
        </w:rPr>
        <w:t>3. FUNDAMENTAÇÃO DA CONTRATAÇÃO</w:t>
      </w:r>
    </w:p>
    <w:p w:rsidR="00202E1F" w:rsidRPr="0029618B" w:rsidRDefault="00202E1F" w:rsidP="00202E1F">
      <w:pPr>
        <w:jc w:val="both"/>
        <w:rPr>
          <w:sz w:val="24"/>
          <w:szCs w:val="24"/>
        </w:rPr>
      </w:pPr>
      <w:r w:rsidRPr="0029618B">
        <w:rPr>
          <w:b/>
          <w:sz w:val="24"/>
          <w:szCs w:val="24"/>
        </w:rPr>
        <w:t xml:space="preserve">3.1. </w:t>
      </w:r>
      <w:r w:rsidRPr="0029618B">
        <w:rPr>
          <w:sz w:val="24"/>
          <w:szCs w:val="24"/>
        </w:rPr>
        <w:t xml:space="preserve">A contratação se fundamenta em Estudo Técnico Preliminar e demais documentos que integram este processo de contratação. </w:t>
      </w:r>
    </w:p>
    <w:p w:rsidR="00202E1F" w:rsidRPr="00480D8E" w:rsidRDefault="00202E1F" w:rsidP="00480D8E">
      <w:pPr>
        <w:jc w:val="both"/>
        <w:rPr>
          <w:sz w:val="24"/>
          <w:szCs w:val="24"/>
        </w:rPr>
      </w:pPr>
      <w:r w:rsidRPr="00480D8E">
        <w:rPr>
          <w:b/>
          <w:sz w:val="24"/>
          <w:szCs w:val="24"/>
        </w:rPr>
        <w:t xml:space="preserve">3.2. </w:t>
      </w:r>
      <w:r w:rsidRPr="00480D8E">
        <w:rPr>
          <w:sz w:val="24"/>
          <w:szCs w:val="24"/>
        </w:rPr>
        <w:t>Neste sentido contratação é necessária para</w:t>
      </w:r>
      <w:r w:rsidR="0029618B" w:rsidRPr="00480D8E">
        <w:rPr>
          <w:sz w:val="24"/>
          <w:szCs w:val="24"/>
        </w:rPr>
        <w:t xml:space="preserve"> sinalizar e manter as vias com pinturas visíveis aos motoristas e pedestres que trafegam, pois</w:t>
      </w:r>
      <w:r w:rsidR="00480D8E" w:rsidRPr="00480D8E">
        <w:rPr>
          <w:sz w:val="24"/>
          <w:szCs w:val="24"/>
        </w:rPr>
        <w:t>,</w:t>
      </w:r>
      <w:r w:rsidR="0029618B" w:rsidRPr="00480D8E">
        <w:rPr>
          <w:sz w:val="24"/>
          <w:szCs w:val="24"/>
        </w:rPr>
        <w:t xml:space="preserve"> o Município é responsável </w:t>
      </w:r>
      <w:r w:rsidR="00480D8E" w:rsidRPr="00480D8E">
        <w:rPr>
          <w:sz w:val="24"/>
          <w:szCs w:val="24"/>
        </w:rPr>
        <w:t>pela troca e a manutenção desses materiais para manter as sinalizações em condições.</w:t>
      </w:r>
    </w:p>
    <w:p w:rsidR="00202E1F" w:rsidRPr="00480D8E" w:rsidRDefault="00202E1F" w:rsidP="00202E1F">
      <w:pPr>
        <w:spacing w:before="240"/>
        <w:jc w:val="both"/>
        <w:rPr>
          <w:b/>
          <w:bCs/>
          <w:sz w:val="24"/>
          <w:szCs w:val="24"/>
        </w:rPr>
      </w:pPr>
      <w:r w:rsidRPr="00480D8E">
        <w:rPr>
          <w:b/>
          <w:bCs/>
          <w:sz w:val="24"/>
          <w:szCs w:val="24"/>
        </w:rPr>
        <w:t>4. DESCRIÇÃO DOS ITENS E PREÇO DE REFERÊNCIA</w:t>
      </w:r>
    </w:p>
    <w:p w:rsidR="00202E1F" w:rsidRPr="00480D8E" w:rsidRDefault="00202E1F" w:rsidP="00202E1F">
      <w:pPr>
        <w:spacing w:before="240"/>
        <w:jc w:val="both"/>
        <w:rPr>
          <w:bCs/>
          <w:sz w:val="24"/>
          <w:szCs w:val="24"/>
        </w:rPr>
      </w:pPr>
      <w:r w:rsidRPr="00480D8E">
        <w:rPr>
          <w:b/>
          <w:bCs/>
          <w:sz w:val="24"/>
          <w:szCs w:val="24"/>
        </w:rPr>
        <w:t xml:space="preserve">4.1. </w:t>
      </w:r>
      <w:r w:rsidRPr="00480D8E">
        <w:rPr>
          <w:bCs/>
          <w:sz w:val="24"/>
          <w:szCs w:val="24"/>
        </w:rPr>
        <w:t xml:space="preserve">Estima-se para a contratação almejada o valor total de </w:t>
      </w:r>
      <w:r w:rsidRPr="00480D8E">
        <w:rPr>
          <w:b/>
          <w:bCs/>
          <w:sz w:val="24"/>
          <w:szCs w:val="24"/>
        </w:rPr>
        <w:t xml:space="preserve">R$ </w:t>
      </w:r>
      <w:r w:rsidR="00480D8E" w:rsidRPr="00480D8E">
        <w:rPr>
          <w:b/>
          <w:bCs/>
          <w:sz w:val="24"/>
          <w:szCs w:val="24"/>
        </w:rPr>
        <w:t>17.803,96</w:t>
      </w:r>
      <w:r w:rsidRPr="00480D8E">
        <w:rPr>
          <w:bCs/>
          <w:sz w:val="24"/>
          <w:szCs w:val="24"/>
        </w:rPr>
        <w:t>.</w:t>
      </w:r>
    </w:p>
    <w:p w:rsidR="00202E1F" w:rsidRPr="00480D8E" w:rsidRDefault="00202E1F" w:rsidP="00202E1F">
      <w:pPr>
        <w:jc w:val="both"/>
        <w:rPr>
          <w:bCs/>
          <w:sz w:val="24"/>
          <w:szCs w:val="24"/>
        </w:rPr>
      </w:pPr>
      <w:r w:rsidRPr="00480D8E">
        <w:rPr>
          <w:b/>
          <w:bCs/>
          <w:sz w:val="24"/>
          <w:szCs w:val="24"/>
        </w:rPr>
        <w:lastRenderedPageBreak/>
        <w:t xml:space="preserve">4.2. </w:t>
      </w:r>
      <w:r w:rsidRPr="00480D8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F04DF8" w:rsidRDefault="00202E1F" w:rsidP="00202E1F">
      <w:pPr>
        <w:spacing w:before="240"/>
        <w:jc w:val="both"/>
        <w:rPr>
          <w:b/>
          <w:bCs/>
          <w:sz w:val="24"/>
          <w:szCs w:val="24"/>
        </w:rPr>
      </w:pPr>
      <w:r w:rsidRPr="00F04DF8">
        <w:rPr>
          <w:b/>
          <w:bCs/>
          <w:sz w:val="24"/>
          <w:szCs w:val="24"/>
        </w:rPr>
        <w:t>5. DESCRIÇÃO DA SOLUÇÃO COMO UM TODO</w:t>
      </w:r>
    </w:p>
    <w:p w:rsidR="00202E1F" w:rsidRPr="00F04DF8" w:rsidRDefault="00202E1F" w:rsidP="00202E1F">
      <w:pPr>
        <w:pStyle w:val="NormalWeb"/>
        <w:spacing w:before="240" w:beforeAutospacing="0" w:after="0" w:afterAutospacing="0"/>
        <w:jc w:val="both"/>
      </w:pPr>
      <w:r w:rsidRPr="00F04DF8">
        <w:rPr>
          <w:b/>
          <w:bCs/>
        </w:rPr>
        <w:t xml:space="preserve">5.1. </w:t>
      </w:r>
      <w:r w:rsidRPr="00F04DF8">
        <w:t>A solução proposta é a contratação de empresa especializada para o fornecimento de bens/serviços conforme disposto no item 1 deste termo de referência, conforme as seguintes especificações/condições:</w:t>
      </w:r>
    </w:p>
    <w:p w:rsidR="00202E1F" w:rsidRPr="00F04DF8" w:rsidRDefault="00202E1F" w:rsidP="00202E1F">
      <w:pPr>
        <w:pStyle w:val="NormalWeb"/>
        <w:spacing w:before="0" w:beforeAutospacing="0" w:after="0" w:afterAutospacing="0"/>
        <w:jc w:val="both"/>
      </w:pPr>
      <w:r w:rsidRPr="00F04DF8">
        <w:rPr>
          <w:b/>
        </w:rPr>
        <w:t xml:space="preserve">5.2. </w:t>
      </w:r>
      <w:r w:rsidRPr="00F04DF8">
        <w:t>O prazo de garantia é aquele estabelecido na Lei nº 8.078, de 11 de setembro de 1990 (Código de Defesa do Consumidor).</w:t>
      </w:r>
    </w:p>
    <w:p w:rsidR="00202E1F" w:rsidRPr="00FF4A1E" w:rsidRDefault="00202E1F" w:rsidP="00202E1F">
      <w:pPr>
        <w:pStyle w:val="NormalWeb"/>
        <w:spacing w:before="0" w:beforeAutospacing="0" w:after="0" w:afterAutospacing="0"/>
        <w:jc w:val="both"/>
      </w:pPr>
      <w:r w:rsidRPr="00FF4A1E">
        <w:rPr>
          <w:b/>
        </w:rPr>
        <w:t xml:space="preserve">5.3. </w:t>
      </w:r>
      <w:r w:rsidRPr="00FF4A1E">
        <w:t xml:space="preserve">Os serviços/objetos desta contratação são caracterizados como comuns, e não se enquadram como bens de luxo nos termos da legislação vigente. </w:t>
      </w:r>
    </w:p>
    <w:p w:rsidR="00202E1F" w:rsidRPr="00FF4A1E" w:rsidRDefault="00202E1F" w:rsidP="00202E1F">
      <w:pPr>
        <w:pStyle w:val="NormalWeb"/>
        <w:spacing w:before="0" w:beforeAutospacing="0" w:after="0" w:afterAutospacing="0"/>
        <w:jc w:val="both"/>
      </w:pPr>
      <w:r w:rsidRPr="00FF4A1E">
        <w:rPr>
          <w:b/>
          <w:bCs/>
        </w:rPr>
        <w:t xml:space="preserve">5.4. </w:t>
      </w:r>
      <w:r w:rsidR="00FF4A1E" w:rsidRPr="00FF4A1E">
        <w:rPr>
          <w:bCs/>
        </w:rPr>
        <w:t>O prazo de entrega será de 30 (trinta) dias, a contar do envio do empenho a contratada por e-mail ou outro meio de contato disponibilizado.</w:t>
      </w:r>
    </w:p>
    <w:p w:rsidR="00202E1F" w:rsidRPr="00FF4A1E" w:rsidRDefault="00202E1F" w:rsidP="00F04DF8">
      <w:pPr>
        <w:pStyle w:val="NormalWeb"/>
        <w:spacing w:before="0" w:beforeAutospacing="0" w:after="0" w:afterAutospacing="0"/>
        <w:jc w:val="both"/>
      </w:pPr>
      <w:r w:rsidRPr="00FF4A1E">
        <w:rPr>
          <w:b/>
        </w:rPr>
        <w:t xml:space="preserve">5.5. </w:t>
      </w:r>
      <w:r w:rsidR="00FF4A1E">
        <w:t xml:space="preserve"> Os materiais deverão ser entregues junto ao prédio da Secretaria de Obras, localizada na rua Duque de Caxias, n° 42, centro do Município de Ajuricaba/RS, em dias úteis das 8h às 11h30min e das 13h30min às 17h.</w:t>
      </w:r>
    </w:p>
    <w:p w:rsidR="00202E1F" w:rsidRPr="00FF4A1E" w:rsidRDefault="00202E1F" w:rsidP="00202E1F">
      <w:pPr>
        <w:spacing w:before="240" w:after="240"/>
        <w:jc w:val="both"/>
        <w:rPr>
          <w:b/>
          <w:bCs/>
          <w:sz w:val="24"/>
          <w:szCs w:val="24"/>
        </w:rPr>
      </w:pPr>
      <w:r w:rsidRPr="00FF4A1E">
        <w:rPr>
          <w:b/>
          <w:bCs/>
          <w:sz w:val="24"/>
          <w:szCs w:val="24"/>
        </w:rPr>
        <w:t>6. REQUISITOS DA CONTRATAÇÃO</w:t>
      </w:r>
    </w:p>
    <w:p w:rsidR="00202E1F" w:rsidRPr="00FF4A1E" w:rsidRDefault="00202E1F" w:rsidP="00202E1F">
      <w:pPr>
        <w:jc w:val="both"/>
        <w:rPr>
          <w:sz w:val="24"/>
          <w:szCs w:val="24"/>
        </w:rPr>
      </w:pPr>
      <w:r w:rsidRPr="00FF4A1E">
        <w:rPr>
          <w:b/>
          <w:sz w:val="24"/>
          <w:szCs w:val="24"/>
        </w:rPr>
        <w:t xml:space="preserve">6.1. </w:t>
      </w:r>
      <w:r w:rsidRPr="00FF4A1E">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FF4A1E" w:rsidRDefault="00202E1F" w:rsidP="00202E1F">
      <w:pPr>
        <w:jc w:val="both"/>
        <w:rPr>
          <w:sz w:val="24"/>
          <w:szCs w:val="24"/>
        </w:rPr>
      </w:pPr>
      <w:r w:rsidRPr="00FF4A1E">
        <w:rPr>
          <w:b/>
          <w:sz w:val="24"/>
          <w:szCs w:val="24"/>
        </w:rPr>
        <w:t xml:space="preserve">6.2. </w:t>
      </w:r>
      <w:r w:rsidRPr="00FF4A1E">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FF4A1E" w:rsidRDefault="00202E1F" w:rsidP="00202E1F">
      <w:pPr>
        <w:jc w:val="both"/>
        <w:rPr>
          <w:sz w:val="24"/>
          <w:szCs w:val="24"/>
        </w:rPr>
      </w:pPr>
      <w:r w:rsidRPr="00FF4A1E">
        <w:rPr>
          <w:b/>
          <w:sz w:val="24"/>
          <w:szCs w:val="24"/>
        </w:rPr>
        <w:t xml:space="preserve">6.3. </w:t>
      </w:r>
      <w:r w:rsidRPr="00FF4A1E">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FF4A1E" w:rsidRDefault="00202E1F" w:rsidP="00202E1F">
      <w:pPr>
        <w:autoSpaceDE w:val="0"/>
        <w:autoSpaceDN w:val="0"/>
        <w:adjustRightInd w:val="0"/>
        <w:spacing w:before="240" w:after="240"/>
        <w:rPr>
          <w:b/>
          <w:bCs/>
          <w:sz w:val="24"/>
          <w:szCs w:val="24"/>
        </w:rPr>
      </w:pPr>
      <w:r w:rsidRPr="00FF4A1E">
        <w:rPr>
          <w:b/>
          <w:bCs/>
          <w:sz w:val="24"/>
          <w:szCs w:val="24"/>
        </w:rPr>
        <w:t>7. MODELO DE EXECUÇÃO DO OBJETO</w:t>
      </w:r>
    </w:p>
    <w:p w:rsidR="00202E1F" w:rsidRPr="00FF4A1E" w:rsidRDefault="00202E1F" w:rsidP="00202E1F">
      <w:pPr>
        <w:jc w:val="both"/>
        <w:rPr>
          <w:sz w:val="24"/>
          <w:szCs w:val="24"/>
        </w:rPr>
      </w:pPr>
      <w:r w:rsidRPr="00FF4A1E">
        <w:rPr>
          <w:b/>
          <w:sz w:val="24"/>
          <w:szCs w:val="24"/>
        </w:rPr>
        <w:t xml:space="preserve">7.1. </w:t>
      </w:r>
      <w:r w:rsidRPr="00FF4A1E">
        <w:rPr>
          <w:sz w:val="24"/>
          <w:szCs w:val="24"/>
        </w:rPr>
        <w:t>Após a homologação e adjudicação, caso se conclua pela contratação, será firmado contrato e emitido instrumento equivalente EMPENHO.</w:t>
      </w:r>
    </w:p>
    <w:p w:rsidR="00202E1F" w:rsidRPr="00FF4A1E" w:rsidRDefault="00202E1F" w:rsidP="00202E1F">
      <w:pPr>
        <w:jc w:val="both"/>
        <w:rPr>
          <w:sz w:val="24"/>
          <w:szCs w:val="24"/>
        </w:rPr>
      </w:pPr>
      <w:r w:rsidRPr="00FF4A1E">
        <w:rPr>
          <w:b/>
          <w:sz w:val="24"/>
          <w:szCs w:val="24"/>
        </w:rPr>
        <w:t xml:space="preserve">7.2. </w:t>
      </w:r>
      <w:r w:rsidRPr="00FF4A1E">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FF4A1E" w:rsidRDefault="00202E1F" w:rsidP="00202E1F">
      <w:pPr>
        <w:jc w:val="both"/>
        <w:rPr>
          <w:sz w:val="24"/>
          <w:szCs w:val="24"/>
        </w:rPr>
      </w:pPr>
      <w:r w:rsidRPr="00FF4A1E">
        <w:rPr>
          <w:b/>
          <w:sz w:val="24"/>
          <w:szCs w:val="24"/>
        </w:rPr>
        <w:t xml:space="preserve">7.3. </w:t>
      </w:r>
      <w:r w:rsidRPr="00FF4A1E">
        <w:rPr>
          <w:sz w:val="24"/>
          <w:szCs w:val="24"/>
        </w:rPr>
        <w:t>A ata de registro de preços ou o contrato, quando for o caso, será enviado à adjudicatária por e-mail, para assinatura preferencialmente eletrônica.</w:t>
      </w:r>
    </w:p>
    <w:p w:rsidR="00202E1F" w:rsidRPr="00FF4A1E" w:rsidRDefault="00202E1F" w:rsidP="00202E1F">
      <w:pPr>
        <w:jc w:val="both"/>
        <w:rPr>
          <w:sz w:val="24"/>
          <w:szCs w:val="24"/>
        </w:rPr>
      </w:pPr>
      <w:r w:rsidRPr="00FF4A1E">
        <w:rPr>
          <w:b/>
          <w:sz w:val="24"/>
          <w:szCs w:val="24"/>
        </w:rPr>
        <w:t xml:space="preserve">7.4. </w:t>
      </w:r>
      <w:r w:rsidRPr="00FF4A1E">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FF4A1E" w:rsidRDefault="00202E1F" w:rsidP="00202E1F">
      <w:pPr>
        <w:jc w:val="both"/>
        <w:rPr>
          <w:sz w:val="24"/>
          <w:szCs w:val="24"/>
        </w:rPr>
      </w:pPr>
      <w:r w:rsidRPr="00FF4A1E">
        <w:rPr>
          <w:b/>
          <w:sz w:val="24"/>
          <w:szCs w:val="24"/>
        </w:rPr>
        <w:t xml:space="preserve">7.5. </w:t>
      </w:r>
      <w:r w:rsidRPr="00FF4A1E">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FF4A1E" w:rsidRDefault="00202E1F" w:rsidP="00202E1F">
      <w:pPr>
        <w:jc w:val="both"/>
        <w:rPr>
          <w:sz w:val="24"/>
          <w:szCs w:val="24"/>
        </w:rPr>
      </w:pPr>
      <w:r w:rsidRPr="00FF4A1E">
        <w:rPr>
          <w:b/>
          <w:sz w:val="24"/>
          <w:szCs w:val="24"/>
        </w:rPr>
        <w:t xml:space="preserve">7.6. </w:t>
      </w:r>
      <w:r w:rsidRPr="00FF4A1E">
        <w:rPr>
          <w:sz w:val="24"/>
          <w:szCs w:val="24"/>
        </w:rPr>
        <w:t>Antes de formalizar o contrato ou emitir instrumento equivalente, a Administração verificará a regularidade fiscal da empresa contratada e consultará a certidão negativa correcional (</w:t>
      </w:r>
      <w:proofErr w:type="spellStart"/>
      <w:r w:rsidRPr="00FF4A1E">
        <w:rPr>
          <w:sz w:val="24"/>
          <w:szCs w:val="24"/>
        </w:rPr>
        <w:t>ePAD</w:t>
      </w:r>
      <w:proofErr w:type="spellEnd"/>
      <w:r w:rsidRPr="00FF4A1E">
        <w:rPr>
          <w:sz w:val="24"/>
          <w:szCs w:val="24"/>
        </w:rPr>
        <w:t xml:space="preserve">, CGU-PJ, CEIS, CNEP e CEPIM) no endereço https://certidoes.cgu.gov.br/, emitindo as certidões negativas de </w:t>
      </w:r>
      <w:r w:rsidRPr="00FF4A1E">
        <w:rPr>
          <w:sz w:val="24"/>
          <w:szCs w:val="24"/>
        </w:rPr>
        <w:lastRenderedPageBreak/>
        <w:t>inidoneidade, de impedimento e de débitos trabalhistas, como determina o § 4º do art. 91 da Lei nº 14.133/2021.</w:t>
      </w:r>
    </w:p>
    <w:p w:rsidR="00202E1F" w:rsidRPr="00FF4A1E" w:rsidRDefault="00202E1F" w:rsidP="00202E1F">
      <w:pPr>
        <w:jc w:val="both"/>
        <w:rPr>
          <w:sz w:val="24"/>
          <w:szCs w:val="24"/>
        </w:rPr>
      </w:pPr>
      <w:r w:rsidRPr="00FF4A1E">
        <w:rPr>
          <w:b/>
          <w:sz w:val="24"/>
          <w:szCs w:val="24"/>
        </w:rPr>
        <w:t xml:space="preserve">7.7. </w:t>
      </w:r>
      <w:r w:rsidRPr="00FF4A1E">
        <w:rPr>
          <w:sz w:val="24"/>
          <w:szCs w:val="24"/>
        </w:rPr>
        <w:t xml:space="preserve">É vedada a subcontratação de pessoa física ou jurídica para a execução do objeto deste Edital (sob pena de inexecução contratual). </w:t>
      </w:r>
    </w:p>
    <w:p w:rsidR="00202E1F" w:rsidRPr="00FF4A1E" w:rsidRDefault="00202E1F" w:rsidP="00202E1F">
      <w:pPr>
        <w:jc w:val="both"/>
        <w:rPr>
          <w:sz w:val="24"/>
          <w:szCs w:val="24"/>
        </w:rPr>
      </w:pPr>
      <w:r w:rsidRPr="00FF4A1E">
        <w:rPr>
          <w:b/>
          <w:sz w:val="24"/>
          <w:szCs w:val="24"/>
        </w:rPr>
        <w:t xml:space="preserve">7.8. </w:t>
      </w:r>
      <w:r w:rsidRPr="00FF4A1E">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FF4A1E" w:rsidRDefault="00202E1F" w:rsidP="00202E1F">
      <w:pPr>
        <w:jc w:val="both"/>
        <w:rPr>
          <w:sz w:val="24"/>
          <w:szCs w:val="24"/>
        </w:rPr>
      </w:pPr>
      <w:r w:rsidRPr="00FF4A1E">
        <w:rPr>
          <w:b/>
          <w:sz w:val="24"/>
          <w:szCs w:val="24"/>
        </w:rPr>
        <w:t xml:space="preserve">7.9. </w:t>
      </w:r>
      <w:r w:rsidRPr="00FF4A1E">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FF4A1E" w:rsidRDefault="00202E1F" w:rsidP="00202E1F">
      <w:pPr>
        <w:jc w:val="both"/>
        <w:rPr>
          <w:sz w:val="24"/>
          <w:szCs w:val="24"/>
        </w:rPr>
      </w:pPr>
      <w:r w:rsidRPr="00FF4A1E">
        <w:rPr>
          <w:b/>
          <w:sz w:val="24"/>
          <w:szCs w:val="24"/>
        </w:rPr>
        <w:t xml:space="preserve">7.10. </w:t>
      </w:r>
      <w:r w:rsidRPr="00FF4A1E">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FF4A1E" w:rsidRDefault="00202E1F" w:rsidP="00202E1F">
      <w:pPr>
        <w:jc w:val="both"/>
        <w:rPr>
          <w:sz w:val="24"/>
          <w:szCs w:val="24"/>
        </w:rPr>
      </w:pPr>
      <w:r w:rsidRPr="00FF4A1E">
        <w:rPr>
          <w:b/>
          <w:sz w:val="24"/>
          <w:szCs w:val="24"/>
        </w:rPr>
        <w:t xml:space="preserve">7.11. </w:t>
      </w:r>
      <w:r w:rsidRPr="00FF4A1E">
        <w:rPr>
          <w:sz w:val="24"/>
          <w:szCs w:val="24"/>
        </w:rPr>
        <w:t>As despesas de seguro, frete, descarregamento, deslocamentos e demais custos e despesas diretas e indiretas necessárias ao fornecimento do objeto contratado, correrão por conta exclusiva da Contratada.</w:t>
      </w:r>
    </w:p>
    <w:p w:rsidR="00202E1F" w:rsidRPr="00432212" w:rsidRDefault="00FF4A1E" w:rsidP="00202E1F">
      <w:pPr>
        <w:spacing w:before="240" w:after="240" w:line="360" w:lineRule="auto"/>
        <w:jc w:val="both"/>
        <w:rPr>
          <w:b/>
          <w:bCs/>
          <w:sz w:val="24"/>
          <w:szCs w:val="24"/>
        </w:rPr>
      </w:pPr>
      <w:r>
        <w:rPr>
          <w:b/>
          <w:bCs/>
          <w:sz w:val="24"/>
          <w:szCs w:val="24"/>
        </w:rPr>
        <w:t>8</w:t>
      </w:r>
      <w:r w:rsidR="00202E1F" w:rsidRPr="00432212">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432212" w:rsidRPr="0027497E" w:rsidTr="00F72586">
        <w:trPr>
          <w:trHeight w:val="80"/>
          <w:jc w:val="center"/>
        </w:trPr>
        <w:tc>
          <w:tcPr>
            <w:tcW w:w="2167" w:type="dxa"/>
          </w:tcPr>
          <w:p w:rsidR="00432212" w:rsidRPr="0027497E" w:rsidRDefault="00432212" w:rsidP="00F72586">
            <w:pPr>
              <w:overflowPunct w:val="0"/>
              <w:autoSpaceDE w:val="0"/>
              <w:autoSpaceDN w:val="0"/>
              <w:adjustRightInd w:val="0"/>
              <w:jc w:val="right"/>
              <w:textAlignment w:val="baseline"/>
              <w:rPr>
                <w:b/>
                <w:sz w:val="24"/>
                <w:szCs w:val="24"/>
              </w:rPr>
            </w:pPr>
            <w:r w:rsidRPr="0027497E">
              <w:rPr>
                <w:b/>
                <w:sz w:val="24"/>
                <w:szCs w:val="24"/>
              </w:rPr>
              <w:t>07</w:t>
            </w:r>
          </w:p>
          <w:p w:rsidR="00432212" w:rsidRPr="0027497E" w:rsidRDefault="00432212" w:rsidP="00F72586">
            <w:pPr>
              <w:overflowPunct w:val="0"/>
              <w:autoSpaceDE w:val="0"/>
              <w:autoSpaceDN w:val="0"/>
              <w:adjustRightInd w:val="0"/>
              <w:jc w:val="right"/>
              <w:textAlignment w:val="baseline"/>
              <w:rPr>
                <w:sz w:val="24"/>
                <w:szCs w:val="24"/>
              </w:rPr>
            </w:pPr>
          </w:p>
          <w:p w:rsidR="00432212" w:rsidRPr="0027497E" w:rsidRDefault="00432212" w:rsidP="00F72586">
            <w:pPr>
              <w:overflowPunct w:val="0"/>
              <w:autoSpaceDE w:val="0"/>
              <w:autoSpaceDN w:val="0"/>
              <w:adjustRightInd w:val="0"/>
              <w:jc w:val="right"/>
              <w:textAlignment w:val="baseline"/>
              <w:rPr>
                <w:sz w:val="24"/>
                <w:szCs w:val="24"/>
              </w:rPr>
            </w:pPr>
            <w:r w:rsidRPr="0027497E">
              <w:rPr>
                <w:sz w:val="24"/>
                <w:szCs w:val="24"/>
              </w:rPr>
              <w:t>2069</w:t>
            </w:r>
          </w:p>
        </w:tc>
        <w:tc>
          <w:tcPr>
            <w:tcW w:w="7554" w:type="dxa"/>
          </w:tcPr>
          <w:p w:rsidR="00432212" w:rsidRPr="0027497E" w:rsidRDefault="00432212" w:rsidP="00F72586">
            <w:pPr>
              <w:overflowPunct w:val="0"/>
              <w:autoSpaceDE w:val="0"/>
              <w:autoSpaceDN w:val="0"/>
              <w:adjustRightInd w:val="0"/>
              <w:jc w:val="both"/>
              <w:textAlignment w:val="baseline"/>
              <w:rPr>
                <w:b/>
                <w:sz w:val="24"/>
                <w:szCs w:val="24"/>
              </w:rPr>
            </w:pPr>
            <w:r w:rsidRPr="0027497E">
              <w:rPr>
                <w:b/>
                <w:sz w:val="24"/>
                <w:szCs w:val="24"/>
              </w:rPr>
              <w:t>SECRETARIA MUNICIPAL DE OBRAS, SERVIÇOS RURAIS, URBANOS E TRÂNSITO</w:t>
            </w:r>
          </w:p>
          <w:p w:rsidR="00432212" w:rsidRPr="0027497E" w:rsidRDefault="00432212" w:rsidP="00F72586">
            <w:pPr>
              <w:overflowPunct w:val="0"/>
              <w:autoSpaceDE w:val="0"/>
              <w:autoSpaceDN w:val="0"/>
              <w:adjustRightInd w:val="0"/>
              <w:jc w:val="both"/>
              <w:textAlignment w:val="baseline"/>
              <w:rPr>
                <w:sz w:val="24"/>
                <w:szCs w:val="24"/>
              </w:rPr>
            </w:pPr>
            <w:r w:rsidRPr="0027497E">
              <w:rPr>
                <w:sz w:val="24"/>
                <w:szCs w:val="24"/>
              </w:rPr>
              <w:t>Fiscalização, Manutenção e Controle do Trânsito</w:t>
            </w:r>
          </w:p>
        </w:tc>
      </w:tr>
      <w:tr w:rsidR="00432212" w:rsidRPr="0027497E" w:rsidTr="00F72586">
        <w:trPr>
          <w:trHeight w:val="80"/>
          <w:jc w:val="center"/>
        </w:trPr>
        <w:tc>
          <w:tcPr>
            <w:tcW w:w="2167" w:type="dxa"/>
          </w:tcPr>
          <w:p w:rsidR="00432212" w:rsidRPr="0027497E" w:rsidRDefault="00432212" w:rsidP="00F72586">
            <w:pPr>
              <w:overflowPunct w:val="0"/>
              <w:autoSpaceDE w:val="0"/>
              <w:autoSpaceDN w:val="0"/>
              <w:adjustRightInd w:val="0"/>
              <w:textAlignment w:val="baseline"/>
              <w:rPr>
                <w:sz w:val="16"/>
                <w:szCs w:val="16"/>
              </w:rPr>
            </w:pPr>
          </w:p>
        </w:tc>
        <w:tc>
          <w:tcPr>
            <w:tcW w:w="7554" w:type="dxa"/>
          </w:tcPr>
          <w:p w:rsidR="00432212" w:rsidRPr="0027497E" w:rsidRDefault="00432212" w:rsidP="00F72586">
            <w:pPr>
              <w:overflowPunct w:val="0"/>
              <w:autoSpaceDE w:val="0"/>
              <w:autoSpaceDN w:val="0"/>
              <w:adjustRightInd w:val="0"/>
              <w:jc w:val="both"/>
              <w:textAlignment w:val="baseline"/>
              <w:rPr>
                <w:sz w:val="16"/>
                <w:szCs w:val="16"/>
              </w:rPr>
            </w:pPr>
          </w:p>
        </w:tc>
      </w:tr>
      <w:tr w:rsidR="00432212" w:rsidRPr="0027497E" w:rsidTr="00F72586">
        <w:trPr>
          <w:trHeight w:val="80"/>
          <w:jc w:val="center"/>
        </w:trPr>
        <w:tc>
          <w:tcPr>
            <w:tcW w:w="2167" w:type="dxa"/>
          </w:tcPr>
          <w:p w:rsidR="00432212" w:rsidRPr="0027497E" w:rsidRDefault="00432212" w:rsidP="00F72586">
            <w:pPr>
              <w:overflowPunct w:val="0"/>
              <w:autoSpaceDE w:val="0"/>
              <w:autoSpaceDN w:val="0"/>
              <w:adjustRightInd w:val="0"/>
              <w:jc w:val="right"/>
              <w:textAlignment w:val="baseline"/>
              <w:rPr>
                <w:b/>
                <w:sz w:val="24"/>
                <w:szCs w:val="24"/>
              </w:rPr>
            </w:pPr>
            <w:r w:rsidRPr="0027497E">
              <w:rPr>
                <w:b/>
                <w:sz w:val="24"/>
                <w:szCs w:val="24"/>
              </w:rPr>
              <w:t>3.3.90.30.44.00.00.</w:t>
            </w:r>
          </w:p>
        </w:tc>
        <w:tc>
          <w:tcPr>
            <w:tcW w:w="7554" w:type="dxa"/>
          </w:tcPr>
          <w:p w:rsidR="00432212" w:rsidRPr="0027497E" w:rsidRDefault="00432212" w:rsidP="00F72586">
            <w:pPr>
              <w:overflowPunct w:val="0"/>
              <w:autoSpaceDE w:val="0"/>
              <w:autoSpaceDN w:val="0"/>
              <w:adjustRightInd w:val="0"/>
              <w:jc w:val="both"/>
              <w:textAlignment w:val="baseline"/>
              <w:rPr>
                <w:b/>
                <w:sz w:val="24"/>
                <w:szCs w:val="24"/>
              </w:rPr>
            </w:pPr>
            <w:r w:rsidRPr="0027497E">
              <w:rPr>
                <w:b/>
                <w:sz w:val="24"/>
                <w:szCs w:val="24"/>
              </w:rPr>
              <w:t>Material de Sinalização Visual e Outros</w:t>
            </w:r>
          </w:p>
        </w:tc>
      </w:tr>
    </w:tbl>
    <w:p w:rsidR="00202E1F" w:rsidRPr="00FF4A1E" w:rsidRDefault="00FF4A1E" w:rsidP="00202E1F">
      <w:pPr>
        <w:autoSpaceDE w:val="0"/>
        <w:autoSpaceDN w:val="0"/>
        <w:adjustRightInd w:val="0"/>
        <w:spacing w:before="240" w:after="240"/>
        <w:rPr>
          <w:b/>
          <w:bCs/>
          <w:sz w:val="24"/>
          <w:szCs w:val="24"/>
        </w:rPr>
      </w:pPr>
      <w:r w:rsidRPr="00FF4A1E">
        <w:rPr>
          <w:b/>
          <w:bCs/>
          <w:sz w:val="24"/>
          <w:szCs w:val="24"/>
        </w:rPr>
        <w:t>9</w:t>
      </w:r>
      <w:r w:rsidR="00202E1F" w:rsidRPr="00FF4A1E">
        <w:rPr>
          <w:b/>
          <w:bCs/>
          <w:sz w:val="24"/>
          <w:szCs w:val="24"/>
        </w:rPr>
        <w:t>. CRITÉRIOS DE MEDIÇÃO E PAGAMENTO</w:t>
      </w:r>
    </w:p>
    <w:p w:rsidR="00202E1F" w:rsidRPr="00FF4A1E" w:rsidRDefault="00FF4A1E" w:rsidP="00202E1F">
      <w:pPr>
        <w:shd w:val="clear" w:color="auto" w:fill="FFFFFF"/>
        <w:jc w:val="both"/>
        <w:rPr>
          <w:i/>
        </w:rPr>
      </w:pPr>
      <w:r w:rsidRPr="00FF4A1E">
        <w:rPr>
          <w:b/>
          <w:bCs/>
          <w:sz w:val="24"/>
          <w:szCs w:val="24"/>
        </w:rPr>
        <w:t>9</w:t>
      </w:r>
      <w:r w:rsidR="00202E1F" w:rsidRPr="00FF4A1E">
        <w:rPr>
          <w:b/>
          <w:bCs/>
          <w:sz w:val="24"/>
          <w:szCs w:val="24"/>
        </w:rPr>
        <w:t xml:space="preserve">.1. </w:t>
      </w:r>
      <w:r w:rsidR="00202E1F" w:rsidRPr="00FF4A1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FF4A1E">
        <w:rPr>
          <w:i/>
          <w:sz w:val="24"/>
          <w:szCs w:val="24"/>
        </w:rPr>
        <w:t>.</w:t>
      </w:r>
    </w:p>
    <w:p w:rsidR="00202E1F" w:rsidRPr="00FF4A1E" w:rsidRDefault="00FF4A1E" w:rsidP="00202E1F">
      <w:pPr>
        <w:overflowPunct w:val="0"/>
        <w:autoSpaceDE w:val="0"/>
        <w:autoSpaceDN w:val="0"/>
        <w:adjustRightInd w:val="0"/>
        <w:jc w:val="both"/>
        <w:textAlignment w:val="baseline"/>
        <w:rPr>
          <w:sz w:val="24"/>
          <w:szCs w:val="24"/>
        </w:rPr>
      </w:pPr>
      <w:r w:rsidRPr="00FF4A1E">
        <w:rPr>
          <w:b/>
          <w:sz w:val="24"/>
          <w:szCs w:val="24"/>
        </w:rPr>
        <w:t>9</w:t>
      </w:r>
      <w:r w:rsidR="00202E1F" w:rsidRPr="00FF4A1E">
        <w:rPr>
          <w:b/>
          <w:sz w:val="24"/>
          <w:szCs w:val="24"/>
        </w:rPr>
        <w:t>.2.</w:t>
      </w:r>
      <w:r w:rsidR="00202E1F" w:rsidRPr="00FF4A1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FF4A1E" w:rsidRDefault="00FF4A1E" w:rsidP="00202E1F">
      <w:pPr>
        <w:pStyle w:val="Default"/>
        <w:jc w:val="both"/>
        <w:rPr>
          <w:rFonts w:ascii="Times New Roman" w:hAnsi="Times New Roman" w:cs="Times New Roman"/>
          <w:color w:val="auto"/>
        </w:rPr>
      </w:pPr>
      <w:r w:rsidRPr="00FF4A1E">
        <w:rPr>
          <w:rFonts w:ascii="Times New Roman" w:hAnsi="Times New Roman" w:cs="Times New Roman"/>
          <w:b/>
          <w:color w:val="auto"/>
        </w:rPr>
        <w:t>9</w:t>
      </w:r>
      <w:r w:rsidR="00202E1F" w:rsidRPr="00FF4A1E">
        <w:rPr>
          <w:rFonts w:ascii="Times New Roman" w:hAnsi="Times New Roman" w:cs="Times New Roman"/>
          <w:b/>
          <w:color w:val="auto"/>
        </w:rPr>
        <w:t xml:space="preserve">.3. </w:t>
      </w:r>
      <w:r w:rsidR="00202E1F" w:rsidRPr="00FF4A1E">
        <w:rPr>
          <w:rFonts w:ascii="Times New Roman" w:hAnsi="Times New Roman" w:cs="Times New Roman"/>
          <w:color w:val="auto"/>
        </w:rPr>
        <w:t xml:space="preserve">Serão processadas as retenções </w:t>
      </w:r>
      <w:r w:rsidR="009D23CC" w:rsidRPr="00FF4A1E">
        <w:rPr>
          <w:rFonts w:ascii="Times New Roman" w:hAnsi="Times New Roman" w:cs="Times New Roman"/>
          <w:color w:val="auto"/>
        </w:rPr>
        <w:t>previdenciárias (IN RFB nº 2.110/2022)</w:t>
      </w:r>
      <w:r w:rsidR="00202E1F" w:rsidRPr="00FF4A1E">
        <w:rPr>
          <w:rFonts w:ascii="Times New Roman" w:hAnsi="Times New Roman" w:cs="Times New Roman"/>
          <w:color w:val="auto"/>
        </w:rPr>
        <w:t xml:space="preserve"> </w:t>
      </w:r>
      <w:r w:rsidR="009D23CC" w:rsidRPr="00FF4A1E">
        <w:rPr>
          <w:rFonts w:ascii="Times New Roman" w:hAnsi="Times New Roman" w:cs="Times New Roman"/>
          <w:color w:val="auto"/>
        </w:rPr>
        <w:t>conforme</w:t>
      </w:r>
      <w:r w:rsidR="00202E1F" w:rsidRPr="00FF4A1E">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FF4A1E" w:rsidRDefault="00FF4A1E" w:rsidP="00202E1F">
      <w:pPr>
        <w:autoSpaceDE w:val="0"/>
        <w:autoSpaceDN w:val="0"/>
        <w:adjustRightInd w:val="0"/>
        <w:spacing w:before="240" w:after="240"/>
        <w:rPr>
          <w:b/>
          <w:bCs/>
          <w:sz w:val="24"/>
          <w:szCs w:val="24"/>
        </w:rPr>
      </w:pPr>
      <w:r w:rsidRPr="00FF4A1E">
        <w:rPr>
          <w:b/>
          <w:bCs/>
          <w:sz w:val="24"/>
          <w:szCs w:val="24"/>
        </w:rPr>
        <w:t>10</w:t>
      </w:r>
      <w:r w:rsidR="00202E1F" w:rsidRPr="00FF4A1E">
        <w:rPr>
          <w:b/>
          <w:bCs/>
          <w:sz w:val="24"/>
          <w:szCs w:val="24"/>
        </w:rPr>
        <w:t>. MODELO DE GESTÃO DO CONTRATO</w:t>
      </w:r>
    </w:p>
    <w:p w:rsidR="00202E1F" w:rsidRPr="00FF4A1E" w:rsidRDefault="00FF4A1E" w:rsidP="00202E1F">
      <w:pPr>
        <w:autoSpaceDE w:val="0"/>
        <w:autoSpaceDN w:val="0"/>
        <w:adjustRightInd w:val="0"/>
        <w:spacing w:before="240"/>
        <w:rPr>
          <w:sz w:val="24"/>
          <w:szCs w:val="24"/>
        </w:rPr>
      </w:pPr>
      <w:r w:rsidRPr="00FF4A1E">
        <w:rPr>
          <w:b/>
          <w:sz w:val="24"/>
          <w:szCs w:val="24"/>
        </w:rPr>
        <w:t>10</w:t>
      </w:r>
      <w:r w:rsidR="00202E1F" w:rsidRPr="00FF4A1E">
        <w:rPr>
          <w:b/>
          <w:sz w:val="24"/>
          <w:szCs w:val="24"/>
        </w:rPr>
        <w:t xml:space="preserve">.1. </w:t>
      </w:r>
      <w:r w:rsidR="00202E1F" w:rsidRPr="00FF4A1E">
        <w:rPr>
          <w:sz w:val="24"/>
          <w:szCs w:val="24"/>
        </w:rPr>
        <w:t>A gestão dos contratos será feita por servidor da Secretaria de Administração, que será designado por portaria e que deverá acompanhar de maneira geral o andamento das contratações.</w:t>
      </w:r>
    </w:p>
    <w:p w:rsidR="00202E1F" w:rsidRPr="00FF4A1E" w:rsidRDefault="00FF4A1E" w:rsidP="00202E1F">
      <w:pPr>
        <w:shd w:val="clear" w:color="auto" w:fill="FFFFFF"/>
        <w:jc w:val="both"/>
        <w:rPr>
          <w:sz w:val="24"/>
          <w:szCs w:val="24"/>
        </w:rPr>
      </w:pPr>
      <w:r w:rsidRPr="00FF4A1E">
        <w:rPr>
          <w:b/>
          <w:sz w:val="24"/>
          <w:szCs w:val="24"/>
        </w:rPr>
        <w:t>10</w:t>
      </w:r>
      <w:r w:rsidR="00202E1F" w:rsidRPr="00FF4A1E">
        <w:rPr>
          <w:b/>
          <w:sz w:val="24"/>
          <w:szCs w:val="24"/>
        </w:rPr>
        <w:t xml:space="preserve">.2. </w:t>
      </w:r>
      <w:r w:rsidRPr="00FF4A1E">
        <w:rPr>
          <w:sz w:val="24"/>
          <w:szCs w:val="24"/>
        </w:rPr>
        <w:t>Fica indicado o</w:t>
      </w:r>
      <w:r w:rsidR="00202E1F" w:rsidRPr="00FF4A1E">
        <w:rPr>
          <w:sz w:val="24"/>
          <w:szCs w:val="24"/>
        </w:rPr>
        <w:t xml:space="preserve"> Servidor </w:t>
      </w:r>
      <w:r w:rsidRPr="00FF4A1E">
        <w:rPr>
          <w:b/>
          <w:sz w:val="24"/>
          <w:szCs w:val="24"/>
        </w:rPr>
        <w:t>S</w:t>
      </w:r>
      <w:r w:rsidR="00202E1F" w:rsidRPr="00FF4A1E">
        <w:rPr>
          <w:b/>
          <w:sz w:val="24"/>
          <w:szCs w:val="24"/>
        </w:rPr>
        <w:t>E</w:t>
      </w:r>
      <w:r w:rsidRPr="00FF4A1E">
        <w:rPr>
          <w:b/>
          <w:sz w:val="24"/>
          <w:szCs w:val="24"/>
        </w:rPr>
        <w:t>RGIO ALCEU TOSO</w:t>
      </w:r>
      <w:r w:rsidR="00202E1F" w:rsidRPr="00FF4A1E">
        <w:rPr>
          <w:sz w:val="24"/>
          <w:szCs w:val="24"/>
        </w:rPr>
        <w:t>, investid</w:t>
      </w:r>
      <w:r w:rsidRPr="00FF4A1E">
        <w:rPr>
          <w:sz w:val="24"/>
          <w:szCs w:val="24"/>
        </w:rPr>
        <w:t>o</w:t>
      </w:r>
      <w:r w:rsidR="00202E1F" w:rsidRPr="00FF4A1E">
        <w:rPr>
          <w:sz w:val="24"/>
          <w:szCs w:val="24"/>
        </w:rPr>
        <w:t xml:space="preserve"> no cargo de S</w:t>
      </w:r>
      <w:r w:rsidRPr="00FF4A1E">
        <w:rPr>
          <w:sz w:val="24"/>
          <w:szCs w:val="24"/>
        </w:rPr>
        <w:t xml:space="preserve">ecretário Municipal de Obras </w:t>
      </w:r>
      <w:r w:rsidR="00202E1F" w:rsidRPr="00FF4A1E">
        <w:rPr>
          <w:sz w:val="24"/>
          <w:szCs w:val="24"/>
        </w:rPr>
        <w:t>como fiscal de contrato.</w:t>
      </w:r>
      <w:r w:rsidR="00202E1F" w:rsidRPr="00FF4A1E">
        <w:rPr>
          <w:b/>
          <w:sz w:val="24"/>
          <w:szCs w:val="24"/>
        </w:rPr>
        <w:t xml:space="preserve"> </w:t>
      </w:r>
    </w:p>
    <w:p w:rsidR="00202E1F" w:rsidRPr="00FF4A1E" w:rsidRDefault="00FF4A1E" w:rsidP="00202E1F">
      <w:pPr>
        <w:shd w:val="clear" w:color="auto" w:fill="FFFFFF"/>
        <w:jc w:val="both"/>
        <w:rPr>
          <w:sz w:val="24"/>
          <w:szCs w:val="24"/>
        </w:rPr>
      </w:pPr>
      <w:r w:rsidRPr="00FF4A1E">
        <w:rPr>
          <w:b/>
          <w:sz w:val="24"/>
          <w:szCs w:val="24"/>
        </w:rPr>
        <w:t>10</w:t>
      </w:r>
      <w:r w:rsidR="00202E1F" w:rsidRPr="00FF4A1E">
        <w:rPr>
          <w:b/>
          <w:sz w:val="24"/>
          <w:szCs w:val="24"/>
        </w:rPr>
        <w:t xml:space="preserve">.3. </w:t>
      </w:r>
      <w:r w:rsidR="00202E1F" w:rsidRPr="00FF4A1E">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FF4A1E" w:rsidRDefault="00FF4A1E" w:rsidP="00202E1F">
      <w:pPr>
        <w:shd w:val="clear" w:color="auto" w:fill="FFFFFF"/>
        <w:jc w:val="both"/>
        <w:rPr>
          <w:sz w:val="24"/>
          <w:szCs w:val="24"/>
        </w:rPr>
      </w:pPr>
      <w:r w:rsidRPr="00FF4A1E">
        <w:rPr>
          <w:b/>
          <w:sz w:val="24"/>
          <w:szCs w:val="24"/>
        </w:rPr>
        <w:lastRenderedPageBreak/>
        <w:t>10</w:t>
      </w:r>
      <w:r w:rsidR="00202E1F" w:rsidRPr="00FF4A1E">
        <w:rPr>
          <w:b/>
          <w:sz w:val="24"/>
          <w:szCs w:val="24"/>
        </w:rPr>
        <w:t xml:space="preserve">.4. </w:t>
      </w:r>
      <w:r w:rsidR="00202E1F" w:rsidRPr="00FF4A1E">
        <w:rPr>
          <w:sz w:val="24"/>
          <w:szCs w:val="24"/>
        </w:rPr>
        <w:t>O fiscal do contrato informará a seus superiores, em tempo hábil para a adoção das medidas convenientes, a situação que demandar decisão ou providência que ultrapasse sua competência.</w:t>
      </w:r>
    </w:p>
    <w:p w:rsidR="00202E1F" w:rsidRPr="00FF4A1E" w:rsidRDefault="00FF4A1E" w:rsidP="00202E1F">
      <w:pPr>
        <w:shd w:val="clear" w:color="auto" w:fill="FFFFFF"/>
        <w:jc w:val="both"/>
        <w:rPr>
          <w:sz w:val="24"/>
          <w:szCs w:val="24"/>
        </w:rPr>
      </w:pPr>
      <w:r w:rsidRPr="00FF4A1E">
        <w:rPr>
          <w:b/>
          <w:sz w:val="24"/>
          <w:szCs w:val="24"/>
        </w:rPr>
        <w:t>10</w:t>
      </w:r>
      <w:r w:rsidR="00202E1F" w:rsidRPr="00FF4A1E">
        <w:rPr>
          <w:b/>
          <w:sz w:val="24"/>
          <w:szCs w:val="24"/>
        </w:rPr>
        <w:t xml:space="preserve">.5. </w:t>
      </w:r>
      <w:r w:rsidR="00202E1F" w:rsidRPr="00FF4A1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FF4A1E" w:rsidRDefault="00FF4A1E" w:rsidP="00202E1F">
      <w:pPr>
        <w:shd w:val="clear" w:color="auto" w:fill="FFFFFF"/>
        <w:jc w:val="both"/>
        <w:rPr>
          <w:sz w:val="24"/>
          <w:szCs w:val="24"/>
        </w:rPr>
      </w:pPr>
      <w:r w:rsidRPr="00FF4A1E">
        <w:rPr>
          <w:b/>
          <w:sz w:val="24"/>
          <w:szCs w:val="24"/>
        </w:rPr>
        <w:t>10</w:t>
      </w:r>
      <w:r w:rsidR="00202E1F" w:rsidRPr="00FF4A1E">
        <w:rPr>
          <w:b/>
          <w:sz w:val="24"/>
          <w:szCs w:val="24"/>
        </w:rPr>
        <w:t xml:space="preserve">.6. </w:t>
      </w:r>
      <w:r w:rsidR="00202E1F" w:rsidRPr="00FF4A1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FF4A1E" w:rsidRDefault="00FF4A1E" w:rsidP="00202E1F">
      <w:pPr>
        <w:shd w:val="clear" w:color="auto" w:fill="FFFFFF"/>
        <w:jc w:val="both"/>
        <w:rPr>
          <w:sz w:val="24"/>
          <w:szCs w:val="24"/>
        </w:rPr>
      </w:pPr>
      <w:r w:rsidRPr="00FF4A1E">
        <w:rPr>
          <w:b/>
          <w:sz w:val="24"/>
          <w:szCs w:val="24"/>
        </w:rPr>
        <w:t>10</w:t>
      </w:r>
      <w:r w:rsidR="00202E1F" w:rsidRPr="00FF4A1E">
        <w:rPr>
          <w:b/>
          <w:sz w:val="24"/>
          <w:szCs w:val="24"/>
        </w:rPr>
        <w:t xml:space="preserve">.7. </w:t>
      </w:r>
      <w:r w:rsidR="00202E1F" w:rsidRPr="00FF4A1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F43277" w:rsidRDefault="009E637F" w:rsidP="00C71E46">
      <w:pPr>
        <w:autoSpaceDE w:val="0"/>
        <w:autoSpaceDN w:val="0"/>
        <w:adjustRightInd w:val="0"/>
        <w:spacing w:after="240"/>
        <w:jc w:val="center"/>
        <w:rPr>
          <w:b/>
          <w:bCs/>
          <w:sz w:val="24"/>
          <w:szCs w:val="24"/>
        </w:rPr>
      </w:pPr>
      <w:r w:rsidRPr="00F43277">
        <w:rPr>
          <w:b/>
          <w:bCs/>
          <w:sz w:val="24"/>
          <w:szCs w:val="24"/>
        </w:rPr>
        <w:t>PREGÃO Nº</w:t>
      </w:r>
      <w:r w:rsidR="00F2159C" w:rsidRPr="00F43277">
        <w:rPr>
          <w:b/>
          <w:bCs/>
          <w:sz w:val="24"/>
          <w:szCs w:val="24"/>
        </w:rPr>
        <w:t xml:space="preserve"> </w:t>
      </w:r>
      <w:r w:rsidR="00F43277" w:rsidRPr="00F43277">
        <w:rPr>
          <w:b/>
          <w:bCs/>
          <w:sz w:val="24"/>
          <w:szCs w:val="24"/>
        </w:rPr>
        <w:t>37</w:t>
      </w:r>
      <w:r w:rsidRPr="00F43277">
        <w:rPr>
          <w:b/>
          <w:bCs/>
          <w:sz w:val="24"/>
          <w:szCs w:val="24"/>
        </w:rPr>
        <w:t>/</w:t>
      </w:r>
      <w:r w:rsidR="0029480A" w:rsidRPr="00F43277">
        <w:rPr>
          <w:b/>
          <w:bCs/>
          <w:sz w:val="24"/>
          <w:szCs w:val="24"/>
        </w:rPr>
        <w:t>202</w:t>
      </w:r>
      <w:r w:rsidR="00A31AC2" w:rsidRPr="00F43277">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96"/>
        <w:gridCol w:w="774"/>
        <w:gridCol w:w="5613"/>
        <w:gridCol w:w="850"/>
        <w:gridCol w:w="993"/>
        <w:gridCol w:w="979"/>
      </w:tblGrid>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Item</w:t>
            </w:r>
          </w:p>
        </w:tc>
        <w:tc>
          <w:tcPr>
            <w:tcW w:w="774" w:type="dxa"/>
            <w:vAlign w:val="center"/>
          </w:tcPr>
          <w:p w:rsidR="00F43277" w:rsidRPr="00717684" w:rsidRDefault="00F43277" w:rsidP="00F72586">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Unid.</w:t>
            </w:r>
          </w:p>
        </w:tc>
        <w:tc>
          <w:tcPr>
            <w:tcW w:w="5613" w:type="dxa"/>
            <w:vAlign w:val="center"/>
          </w:tcPr>
          <w:p w:rsidR="00F43277" w:rsidRPr="00717684" w:rsidRDefault="00F43277" w:rsidP="00F72586">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Especificação</w:t>
            </w:r>
          </w:p>
        </w:tc>
        <w:tc>
          <w:tcPr>
            <w:tcW w:w="850" w:type="dxa"/>
            <w:vAlign w:val="center"/>
          </w:tcPr>
          <w:p w:rsidR="00F43277" w:rsidRPr="00717684" w:rsidRDefault="00F43277" w:rsidP="00F72586">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Quant.</w:t>
            </w:r>
          </w:p>
        </w:tc>
        <w:tc>
          <w:tcPr>
            <w:tcW w:w="993" w:type="dxa"/>
            <w:vAlign w:val="center"/>
          </w:tcPr>
          <w:p w:rsidR="00F43277" w:rsidRPr="00717684" w:rsidRDefault="00F43277" w:rsidP="00F43277">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Preço Unitário</w:t>
            </w:r>
          </w:p>
        </w:tc>
        <w:tc>
          <w:tcPr>
            <w:tcW w:w="979" w:type="dxa"/>
            <w:vAlign w:val="center"/>
          </w:tcPr>
          <w:p w:rsidR="00F43277" w:rsidRPr="00717684" w:rsidRDefault="00F43277" w:rsidP="00F43277">
            <w:pPr>
              <w:pStyle w:val="Contedodatabela"/>
              <w:jc w:val="center"/>
              <w:rPr>
                <w:rFonts w:ascii="Times New Roman" w:hAnsi="Times New Roman" w:cs="Times New Roman"/>
                <w:b/>
                <w:sz w:val="20"/>
                <w:szCs w:val="20"/>
              </w:rPr>
            </w:pPr>
            <w:r w:rsidRPr="00717684">
              <w:rPr>
                <w:rFonts w:ascii="Times New Roman" w:hAnsi="Times New Roman" w:cs="Times New Roman"/>
                <w:b/>
                <w:sz w:val="20"/>
                <w:szCs w:val="20"/>
              </w:rPr>
              <w:t>Preço  Total</w:t>
            </w: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1</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amarela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2</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branca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20</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3</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Cavalete de sinalização de trânsito</w:t>
            </w:r>
            <w:r w:rsidRPr="00717684">
              <w:rPr>
                <w:rFonts w:ascii="Times New Roman" w:hAnsi="Times New Roman"/>
                <w:sz w:val="20"/>
                <w:szCs w:val="20"/>
              </w:rPr>
              <w:t xml:space="preserve"> (dimensões mínimas 110x54cm) - em plástico, dobrável, com película refletiva, fabricado em polietileno com proteção contra raios </w:t>
            </w:r>
            <w:proofErr w:type="spellStart"/>
            <w:r w:rsidRPr="00717684">
              <w:rPr>
                <w:rFonts w:ascii="Times New Roman" w:hAnsi="Times New Roman"/>
                <w:sz w:val="20"/>
                <w:szCs w:val="20"/>
              </w:rPr>
              <w:t>uv</w:t>
            </w:r>
            <w:proofErr w:type="spellEnd"/>
            <w:r w:rsidRPr="00717684">
              <w:rPr>
                <w:rFonts w:ascii="Times New Roman" w:hAnsi="Times New Roman"/>
                <w:sz w:val="20"/>
                <w:szCs w:val="20"/>
              </w:rPr>
              <w:t>.</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4</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Solvente para tinta demarcatória viária</w:t>
            </w:r>
            <w:r w:rsidRPr="00717684">
              <w:rPr>
                <w:rFonts w:ascii="Times New Roman" w:hAnsi="Times New Roman"/>
                <w:sz w:val="20"/>
                <w:szCs w:val="20"/>
              </w:rPr>
              <w:t xml:space="preserve"> de 18 litros.</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6</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5</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Placa de sinalização de trânsito de “quebra-molas ou lombada”</w:t>
            </w:r>
            <w:r w:rsidRPr="00717684">
              <w:rPr>
                <w:rFonts w:ascii="Times New Roman" w:hAnsi="Times New Roman"/>
                <w:sz w:val="20"/>
                <w:szCs w:val="20"/>
              </w:rPr>
              <w:t xml:space="preserve"> (desenho do quebra-molas) refletiva, em chapa de aço#18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6</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Placa de sinalização de trânsito de ‘Pare”</w:t>
            </w:r>
            <w:r w:rsidRPr="00717684">
              <w:rPr>
                <w:rFonts w:ascii="Times New Roman" w:hAnsi="Times New Roman"/>
                <w:sz w:val="20"/>
                <w:szCs w:val="20"/>
              </w:rPr>
              <w:t xml:space="preserve"> 500x500mm, refletiva, em chapa de aço18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7</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Placa de sinalização de trânsito de “rotatória”</w:t>
            </w:r>
            <w:r w:rsidRPr="00717684">
              <w:rPr>
                <w:rFonts w:ascii="Times New Roman" w:hAnsi="Times New Roman"/>
                <w:sz w:val="20"/>
                <w:szCs w:val="20"/>
              </w:rPr>
              <w:t xml:space="preserve"> 500x500mm, refletiva, em chapa de aço#18 (1,2mm) de acordo com as normas brasileiras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vigentes para o item.</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4</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8</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Tachão bidirecional</w:t>
            </w:r>
            <w:r w:rsidRPr="00717684">
              <w:rPr>
                <w:rFonts w:ascii="Times New Roman" w:hAnsi="Times New Roman"/>
                <w:sz w:val="20"/>
                <w:szCs w:val="20"/>
              </w:rPr>
              <w:t xml:space="preserve"> à base de poliéster 250x20mm - olho de gato.</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40</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9</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Und</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 xml:space="preserve">Cone de sinalização de trânsito de </w:t>
            </w:r>
            <w:proofErr w:type="spellStart"/>
            <w:r w:rsidRPr="00717684">
              <w:rPr>
                <w:rFonts w:ascii="Times New Roman" w:hAnsi="Times New Roman"/>
                <w:b/>
                <w:sz w:val="20"/>
                <w:szCs w:val="20"/>
              </w:rPr>
              <w:t>pvc</w:t>
            </w:r>
            <w:proofErr w:type="spellEnd"/>
            <w:r w:rsidRPr="00717684">
              <w:rPr>
                <w:rFonts w:ascii="Times New Roman" w:hAnsi="Times New Roman"/>
                <w:sz w:val="20"/>
                <w:szCs w:val="20"/>
              </w:rPr>
              <w:t>, com base, 50 cm, laranja e branco refletivo.</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10</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10</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azul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sinalização horizontal viária - tinta à base de resina acrílica).</w:t>
            </w:r>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2</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696" w:type="dxa"/>
            <w:vAlign w:val="center"/>
          </w:tcPr>
          <w:p w:rsidR="00F43277" w:rsidRPr="00717684" w:rsidRDefault="00F43277" w:rsidP="00F72586">
            <w:pPr>
              <w:pStyle w:val="Contedodatabela"/>
              <w:jc w:val="center"/>
              <w:rPr>
                <w:rFonts w:ascii="Times New Roman" w:hAnsi="Times New Roman" w:cs="Times New Roman"/>
                <w:b/>
              </w:rPr>
            </w:pPr>
            <w:r w:rsidRPr="00717684">
              <w:rPr>
                <w:rFonts w:ascii="Times New Roman" w:hAnsi="Times New Roman" w:cs="Times New Roman"/>
                <w:b/>
              </w:rPr>
              <w:t>11</w:t>
            </w:r>
          </w:p>
        </w:tc>
        <w:tc>
          <w:tcPr>
            <w:tcW w:w="774" w:type="dxa"/>
            <w:vAlign w:val="center"/>
          </w:tcPr>
          <w:p w:rsidR="00F43277" w:rsidRPr="00717684" w:rsidRDefault="00F43277" w:rsidP="00F72586">
            <w:pPr>
              <w:pStyle w:val="Contefadodatabela"/>
              <w:jc w:val="center"/>
              <w:rPr>
                <w:rFonts w:ascii="Times New Roman" w:hAnsi="Times New Roman"/>
                <w:sz w:val="20"/>
                <w:szCs w:val="20"/>
              </w:rPr>
            </w:pPr>
            <w:proofErr w:type="spellStart"/>
            <w:r w:rsidRPr="00717684">
              <w:rPr>
                <w:rFonts w:ascii="Times New Roman" w:hAnsi="Times New Roman"/>
                <w:sz w:val="20"/>
                <w:szCs w:val="20"/>
              </w:rPr>
              <w:t>Lt</w:t>
            </w:r>
            <w:proofErr w:type="spellEnd"/>
          </w:p>
        </w:tc>
        <w:tc>
          <w:tcPr>
            <w:tcW w:w="5613" w:type="dxa"/>
          </w:tcPr>
          <w:p w:rsidR="00F43277" w:rsidRPr="00717684" w:rsidRDefault="00F43277" w:rsidP="00F72586">
            <w:pPr>
              <w:pStyle w:val="Contefadodatabela"/>
              <w:tabs>
                <w:tab w:val="left" w:pos="1590"/>
              </w:tabs>
              <w:jc w:val="both"/>
              <w:rPr>
                <w:rFonts w:ascii="Times New Roman" w:hAnsi="Times New Roman"/>
                <w:sz w:val="20"/>
                <w:szCs w:val="20"/>
              </w:rPr>
            </w:pPr>
            <w:r w:rsidRPr="00717684">
              <w:rPr>
                <w:rFonts w:ascii="Times New Roman" w:hAnsi="Times New Roman"/>
                <w:b/>
                <w:sz w:val="20"/>
                <w:szCs w:val="20"/>
              </w:rPr>
              <w:t>Tinta demarcatória preta 18 litros</w:t>
            </w:r>
            <w:r w:rsidRPr="00717684">
              <w:rPr>
                <w:rFonts w:ascii="Times New Roman" w:hAnsi="Times New Roman"/>
                <w:sz w:val="20"/>
                <w:szCs w:val="20"/>
              </w:rPr>
              <w:t>, acrílica à base de solvente (</w:t>
            </w:r>
            <w:proofErr w:type="spellStart"/>
            <w:r w:rsidRPr="00717684">
              <w:rPr>
                <w:rFonts w:ascii="Times New Roman" w:hAnsi="Times New Roman"/>
                <w:sz w:val="20"/>
                <w:szCs w:val="20"/>
              </w:rPr>
              <w:t>abnt</w:t>
            </w:r>
            <w:proofErr w:type="spellEnd"/>
            <w:r w:rsidRPr="00717684">
              <w:rPr>
                <w:rFonts w:ascii="Times New Roman" w:hAnsi="Times New Roman"/>
                <w:sz w:val="20"/>
                <w:szCs w:val="20"/>
              </w:rPr>
              <w:t xml:space="preserve"> </w:t>
            </w:r>
            <w:proofErr w:type="spellStart"/>
            <w:r w:rsidRPr="00717684">
              <w:rPr>
                <w:rFonts w:ascii="Times New Roman" w:hAnsi="Times New Roman"/>
                <w:sz w:val="20"/>
                <w:szCs w:val="20"/>
              </w:rPr>
              <w:t>nbr</w:t>
            </w:r>
            <w:proofErr w:type="spellEnd"/>
            <w:r w:rsidRPr="00717684">
              <w:rPr>
                <w:rFonts w:ascii="Times New Roman" w:hAnsi="Times New Roman"/>
                <w:sz w:val="20"/>
                <w:szCs w:val="20"/>
              </w:rPr>
              <w:t xml:space="preserve"> 11862 – sinalização horizontal viária – tinta à base de resina acrílica)</w:t>
            </w:r>
            <w:r w:rsidR="00E43013">
              <w:rPr>
                <w:rFonts w:ascii="Times New Roman" w:hAnsi="Times New Roman"/>
                <w:sz w:val="20"/>
                <w:szCs w:val="20"/>
              </w:rPr>
              <w:t>.</w:t>
            </w:r>
            <w:bookmarkStart w:id="4" w:name="_GoBack"/>
            <w:bookmarkEnd w:id="4"/>
          </w:p>
        </w:tc>
        <w:tc>
          <w:tcPr>
            <w:tcW w:w="850" w:type="dxa"/>
            <w:vAlign w:val="center"/>
          </w:tcPr>
          <w:p w:rsidR="00F43277" w:rsidRPr="00717684" w:rsidRDefault="00F43277" w:rsidP="00F72586">
            <w:pPr>
              <w:pStyle w:val="Contefadodatabela"/>
              <w:ind w:right="57"/>
              <w:jc w:val="center"/>
              <w:rPr>
                <w:rFonts w:ascii="Times New Roman" w:hAnsi="Times New Roman"/>
                <w:sz w:val="20"/>
                <w:szCs w:val="20"/>
              </w:rPr>
            </w:pPr>
            <w:r w:rsidRPr="00717684">
              <w:rPr>
                <w:rFonts w:ascii="Times New Roman" w:hAnsi="Times New Roman"/>
                <w:sz w:val="20"/>
                <w:szCs w:val="20"/>
              </w:rPr>
              <w:t>6</w:t>
            </w:r>
          </w:p>
        </w:tc>
        <w:tc>
          <w:tcPr>
            <w:tcW w:w="993" w:type="dxa"/>
            <w:vAlign w:val="center"/>
          </w:tcPr>
          <w:p w:rsidR="00F43277" w:rsidRPr="00717684" w:rsidRDefault="00F43277" w:rsidP="00F72586">
            <w:pPr>
              <w:pStyle w:val="Contefadodatabela"/>
              <w:jc w:val="center"/>
              <w:rPr>
                <w:rFonts w:ascii="Times New Roman" w:hAnsi="Times New Roman"/>
                <w:sz w:val="20"/>
                <w:szCs w:val="20"/>
              </w:rPr>
            </w:pPr>
          </w:p>
        </w:tc>
        <w:tc>
          <w:tcPr>
            <w:tcW w:w="979" w:type="dxa"/>
            <w:vAlign w:val="center"/>
          </w:tcPr>
          <w:p w:rsidR="00F43277" w:rsidRPr="00717684" w:rsidRDefault="00F43277" w:rsidP="00F72586">
            <w:pPr>
              <w:pStyle w:val="Contefadodatabela"/>
              <w:jc w:val="center"/>
              <w:rPr>
                <w:rFonts w:ascii="Times New Roman" w:hAnsi="Times New Roman"/>
                <w:sz w:val="20"/>
                <w:szCs w:val="20"/>
              </w:rPr>
            </w:pPr>
          </w:p>
        </w:tc>
      </w:tr>
      <w:tr w:rsidR="00F43277" w:rsidRPr="00717684" w:rsidTr="00F43277">
        <w:trPr>
          <w:trHeight w:val="340"/>
        </w:trPr>
        <w:tc>
          <w:tcPr>
            <w:tcW w:w="8926" w:type="dxa"/>
            <w:gridSpan w:val="5"/>
            <w:vAlign w:val="center"/>
          </w:tcPr>
          <w:p w:rsidR="00F43277" w:rsidRPr="00480D8E" w:rsidRDefault="00F43277" w:rsidP="00F72586">
            <w:pPr>
              <w:jc w:val="center"/>
              <w:rPr>
                <w:b/>
              </w:rPr>
            </w:pPr>
            <w:r w:rsidRPr="00480D8E">
              <w:rPr>
                <w:b/>
              </w:rPr>
              <w:t>TOTAL</w:t>
            </w:r>
          </w:p>
        </w:tc>
        <w:tc>
          <w:tcPr>
            <w:tcW w:w="979" w:type="dxa"/>
            <w:vAlign w:val="center"/>
          </w:tcPr>
          <w:p w:rsidR="00F43277" w:rsidRPr="00480D8E" w:rsidRDefault="00F43277" w:rsidP="00F43277">
            <w:pPr>
              <w:ind w:hanging="117"/>
              <w:jc w:val="center"/>
              <w:rPr>
                <w:b/>
              </w:rPr>
            </w:pPr>
            <w:r w:rsidRPr="00480D8E">
              <w:rPr>
                <w:b/>
              </w:rPr>
              <w:t xml:space="preserve">R$ </w:t>
            </w:r>
            <w:proofErr w:type="spellStart"/>
            <w:r>
              <w:rPr>
                <w:b/>
              </w:rPr>
              <w:t>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sectPr w:rsidR="00FA06CB" w:rsidRPr="00FA06CB"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17" w:rsidRDefault="007F0517">
      <w:r>
        <w:separator/>
      </w:r>
    </w:p>
  </w:endnote>
  <w:endnote w:type="continuationSeparator" w:id="0">
    <w:p w:rsidR="007F0517" w:rsidRDefault="007F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3" w:rsidRDefault="006105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105B3" w:rsidRPr="001236BE" w:rsidRDefault="006105B3">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3" w:rsidRPr="001236BE" w:rsidRDefault="006105B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43013">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6105B3" w:rsidRDefault="006105B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17" w:rsidRDefault="007F0517">
      <w:r>
        <w:separator/>
      </w:r>
    </w:p>
  </w:footnote>
  <w:footnote w:type="continuationSeparator" w:id="0">
    <w:p w:rsidR="007F0517" w:rsidRDefault="007F05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3" w:rsidRPr="009E637F" w:rsidRDefault="006105B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6105B3" w:rsidRDefault="006105B3" w:rsidP="009E637F">
    <w:pPr>
      <w:rPr>
        <w:b/>
        <w:sz w:val="22"/>
        <w:szCs w:val="22"/>
      </w:rPr>
    </w:pPr>
    <w:r w:rsidRPr="009E637F">
      <w:rPr>
        <w:b/>
        <w:sz w:val="22"/>
        <w:szCs w:val="22"/>
      </w:rPr>
      <w:tab/>
      <w:t xml:space="preserve">    </w:t>
    </w:r>
    <w:r w:rsidRPr="009E637F">
      <w:rPr>
        <w:b/>
        <w:sz w:val="22"/>
        <w:szCs w:val="22"/>
      </w:rPr>
      <w:tab/>
      <w:t>ESTADO DO RIO GRANDE DO SUL</w:t>
    </w:r>
  </w:p>
  <w:p w:rsidR="006105B3" w:rsidRPr="009E637F" w:rsidRDefault="006105B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6105B3" w:rsidRPr="009E637F" w:rsidRDefault="006105B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6105B3" w:rsidRDefault="006105B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DFB"/>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474"/>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25C"/>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97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9618B"/>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212"/>
    <w:rsid w:val="004326D5"/>
    <w:rsid w:val="00437914"/>
    <w:rsid w:val="004443D0"/>
    <w:rsid w:val="00445726"/>
    <w:rsid w:val="00450EF1"/>
    <w:rsid w:val="00451B86"/>
    <w:rsid w:val="00451B95"/>
    <w:rsid w:val="0045283A"/>
    <w:rsid w:val="004546F2"/>
    <w:rsid w:val="00461E18"/>
    <w:rsid w:val="00462FEC"/>
    <w:rsid w:val="0046591D"/>
    <w:rsid w:val="004663E4"/>
    <w:rsid w:val="004727E5"/>
    <w:rsid w:val="00472F94"/>
    <w:rsid w:val="00475C98"/>
    <w:rsid w:val="00480153"/>
    <w:rsid w:val="00480521"/>
    <w:rsid w:val="00480C9F"/>
    <w:rsid w:val="00480D8E"/>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3F31"/>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05B3"/>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1F53"/>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7684"/>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051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77D"/>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D7752"/>
    <w:rsid w:val="008E200C"/>
    <w:rsid w:val="008E36C5"/>
    <w:rsid w:val="008E5FAF"/>
    <w:rsid w:val="008F7C25"/>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3E24"/>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67FB"/>
    <w:rsid w:val="00D87036"/>
    <w:rsid w:val="00D8716B"/>
    <w:rsid w:val="00D91260"/>
    <w:rsid w:val="00D928B5"/>
    <w:rsid w:val="00D92D60"/>
    <w:rsid w:val="00D9385D"/>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4C20"/>
    <w:rsid w:val="00DD53C2"/>
    <w:rsid w:val="00DE0359"/>
    <w:rsid w:val="00DE103B"/>
    <w:rsid w:val="00DE187B"/>
    <w:rsid w:val="00DE4107"/>
    <w:rsid w:val="00DE6B0E"/>
    <w:rsid w:val="00DE7E57"/>
    <w:rsid w:val="00DF13AE"/>
    <w:rsid w:val="00DF4DB5"/>
    <w:rsid w:val="00DF7BF4"/>
    <w:rsid w:val="00E00639"/>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013"/>
    <w:rsid w:val="00E43EED"/>
    <w:rsid w:val="00E45212"/>
    <w:rsid w:val="00E47D14"/>
    <w:rsid w:val="00E500A7"/>
    <w:rsid w:val="00E50845"/>
    <w:rsid w:val="00E56AA2"/>
    <w:rsid w:val="00E60004"/>
    <w:rsid w:val="00E61B12"/>
    <w:rsid w:val="00E61D6B"/>
    <w:rsid w:val="00E638B4"/>
    <w:rsid w:val="00E63DC7"/>
    <w:rsid w:val="00E64DBC"/>
    <w:rsid w:val="00E73874"/>
    <w:rsid w:val="00E7445D"/>
    <w:rsid w:val="00E7455F"/>
    <w:rsid w:val="00E74C69"/>
    <w:rsid w:val="00E767B1"/>
    <w:rsid w:val="00E76F58"/>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4DF8"/>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3277"/>
    <w:rsid w:val="00F45EC6"/>
    <w:rsid w:val="00F47780"/>
    <w:rsid w:val="00F50526"/>
    <w:rsid w:val="00F51FD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0BBF"/>
    <w:rsid w:val="00FF1C8E"/>
    <w:rsid w:val="00FF2ABF"/>
    <w:rsid w:val="00FF44BE"/>
    <w:rsid w:val="00FF46E3"/>
    <w:rsid w:val="00FF4A1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F59FE"/>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E6DB-7921-4E4A-8B8D-C8C2FD90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10577</Words>
  <Characters>57119</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67561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25</cp:revision>
  <cp:lastPrinted>2024-10-21T12:37:00Z</cp:lastPrinted>
  <dcterms:created xsi:type="dcterms:W3CDTF">2025-04-16T16:57:00Z</dcterms:created>
  <dcterms:modified xsi:type="dcterms:W3CDTF">2025-04-22T19:52:00Z</dcterms:modified>
</cp:coreProperties>
</file>